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53C20" w:rsidP="4B027C78" w:rsidRDefault="00153C20" w14:paraId="4F4082F0" w14:textId="78EC1417">
      <w:pPr>
        <w:jc w:val="right"/>
        <w:rPr>
          <w:noProof/>
        </w:rPr>
      </w:pPr>
      <w:r>
        <w:rPr>
          <w:noProof/>
        </w:rPr>
        <w:drawing>
          <wp:inline distT="0" distB="0" distL="0" distR="0" wp14:anchorId="13CBAD92" wp14:editId="07CE6D38">
            <wp:extent cx="1285875" cy="774290"/>
            <wp:effectExtent l="0" t="0" r="0" b="0"/>
            <wp:docPr id="399350902" name="Picture 39935090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35090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5875" cy="774290"/>
                    </a:xfrm>
                    <a:prstGeom prst="rect">
                      <a:avLst/>
                    </a:prstGeom>
                  </pic:spPr>
                </pic:pic>
              </a:graphicData>
            </a:graphic>
          </wp:inline>
        </w:drawing>
      </w:r>
    </w:p>
    <w:p w:rsidR="00153C20" w:rsidP="4B027C78" w:rsidRDefault="00153C20" w14:paraId="786135F8" w14:textId="77777777">
      <w:pPr>
        <w:jc w:val="right"/>
        <w:rPr>
          <w:noProof/>
        </w:rPr>
      </w:pPr>
    </w:p>
    <w:p w:rsidR="00153C20" w:rsidP="4B027C78" w:rsidRDefault="00153C20" w14:paraId="766494B0" w14:textId="2AC4FCD3">
      <w:pPr>
        <w:jc w:val="right"/>
      </w:pPr>
    </w:p>
    <w:tbl>
      <w:tblPr>
        <w:tblStyle w:val="TableGrid"/>
        <w:tblpPr w:leftFromText="180" w:rightFromText="180" w:vertAnchor="text" w:horzAnchor="margin" w:tblpY="-474"/>
        <w:tblW w:w="9190" w:type="dxa"/>
        <w:tblLook w:val="04A0" w:firstRow="1" w:lastRow="0" w:firstColumn="1" w:lastColumn="0" w:noHBand="0" w:noVBand="1"/>
      </w:tblPr>
      <w:tblGrid>
        <w:gridCol w:w="9190"/>
      </w:tblGrid>
      <w:tr w:rsidR="001A3F7D" w:rsidTr="5E126E9E" w14:paraId="5D20A489" w14:textId="77777777">
        <w:trPr>
          <w:trHeight w:val="916"/>
        </w:trPr>
        <w:tc>
          <w:tcPr>
            <w:tcW w:w="9190" w:type="dxa"/>
            <w:shd w:val="clear" w:color="auto" w:fill="BFBFBF" w:themeFill="background1" w:themeFillShade="BF"/>
            <w:tcMar/>
          </w:tcPr>
          <w:p w:rsidR="001A3F7D" w:rsidP="001A3F7D" w:rsidRDefault="001A3F7D" w14:paraId="0BA91981" w14:textId="77777777">
            <w:pPr>
              <w:jc w:val="center"/>
            </w:pPr>
          </w:p>
          <w:p w:rsidR="007B4DD3" w:rsidP="001A3F7D" w:rsidRDefault="007B4DD3" w14:paraId="3D5E1263" w14:textId="346BC7F1">
            <w:pPr>
              <w:jc w:val="center"/>
              <w:rPr>
                <w:b/>
                <w:bCs/>
                <w:sz w:val="28"/>
                <w:szCs w:val="28"/>
              </w:rPr>
            </w:pPr>
            <w:r>
              <w:rPr>
                <w:b/>
                <w:bCs/>
                <w:sz w:val="28"/>
                <w:szCs w:val="28"/>
              </w:rPr>
              <w:t>Financial Support Procedures 2022-2023</w:t>
            </w:r>
          </w:p>
          <w:p w:rsidR="001A3F7D" w:rsidP="001A3F7D" w:rsidRDefault="001A3F7D" w14:paraId="6C83E824" w14:textId="7A96DF20">
            <w:pPr>
              <w:jc w:val="center"/>
              <w:rPr>
                <w:b w:val="1"/>
                <w:bCs w:val="1"/>
                <w:sz w:val="28"/>
                <w:szCs w:val="28"/>
              </w:rPr>
            </w:pPr>
            <w:r w:rsidRPr="5E126E9E" w:rsidR="16F3B34D">
              <w:rPr>
                <w:b w:val="1"/>
                <w:bCs w:val="1"/>
                <w:sz w:val="28"/>
                <w:szCs w:val="28"/>
              </w:rPr>
              <w:t>20 + Childcare (</w:t>
            </w:r>
            <w:r w:rsidRPr="5E126E9E" w:rsidR="0668E3BF">
              <w:rPr>
                <w:b w:val="1"/>
                <w:bCs w:val="1"/>
                <w:sz w:val="28"/>
                <w:szCs w:val="28"/>
              </w:rPr>
              <w:t>F</w:t>
            </w:r>
            <w:r w:rsidRPr="5E126E9E" w:rsidR="16F3B34D">
              <w:rPr>
                <w:b w:val="1"/>
                <w:bCs w:val="1"/>
                <w:sz w:val="28"/>
                <w:szCs w:val="28"/>
              </w:rPr>
              <w:t xml:space="preserve">ull and </w:t>
            </w:r>
            <w:r w:rsidRPr="5E126E9E" w:rsidR="0668E3BF">
              <w:rPr>
                <w:b w:val="1"/>
                <w:bCs w:val="1"/>
                <w:sz w:val="28"/>
                <w:szCs w:val="28"/>
              </w:rPr>
              <w:t>P</w:t>
            </w:r>
            <w:r w:rsidRPr="5E126E9E" w:rsidR="16F3B34D">
              <w:rPr>
                <w:b w:val="1"/>
                <w:bCs w:val="1"/>
                <w:sz w:val="28"/>
                <w:szCs w:val="28"/>
              </w:rPr>
              <w:t xml:space="preserve">art time </w:t>
            </w:r>
            <w:r w:rsidRPr="5E126E9E" w:rsidR="0668E3BF">
              <w:rPr>
                <w:b w:val="1"/>
                <w:bCs w:val="1"/>
                <w:sz w:val="28"/>
                <w:szCs w:val="28"/>
              </w:rPr>
              <w:t>Students)</w:t>
            </w:r>
          </w:p>
          <w:p w:rsidRPr="00084334" w:rsidR="003F7515" w:rsidP="001A3F7D" w:rsidRDefault="003F7515" w14:paraId="71441D30" w14:textId="02FAD9D8">
            <w:pPr>
              <w:jc w:val="center"/>
              <w:rPr>
                <w:b/>
                <w:bCs/>
                <w:sz w:val="28"/>
                <w:szCs w:val="28"/>
              </w:rPr>
            </w:pPr>
          </w:p>
        </w:tc>
      </w:tr>
    </w:tbl>
    <w:p w:rsidR="009729B4" w:rsidP="0050769F" w:rsidRDefault="006152A5" w14:paraId="4854FD67" w14:textId="0DC65E9D">
      <w:pPr>
        <w:spacing w:after="0"/>
        <w:jc w:val="both"/>
      </w:pPr>
      <w:r w:rsidR="006152A5">
        <w:rPr/>
        <w:t xml:space="preserve">Northern College is committed to supporting students to access learning where hardship is a barrier to education. These procedures should be read in conjunction with the Financial Support Policy </w:t>
      </w:r>
      <w:r w:rsidR="00A8629E">
        <w:rPr/>
        <w:t xml:space="preserve">     </w:t>
      </w:r>
      <w:r w:rsidR="006152A5">
        <w:rPr/>
        <w:t>202</w:t>
      </w:r>
      <w:r w:rsidR="003F7515">
        <w:rPr/>
        <w:t>2</w:t>
      </w:r>
      <w:r w:rsidR="011D5A2E">
        <w:rPr/>
        <w:t>-</w:t>
      </w:r>
      <w:r w:rsidR="006152A5">
        <w:rPr/>
        <w:t>202</w:t>
      </w:r>
      <w:r w:rsidR="003F7515">
        <w:rPr/>
        <w:t>3</w:t>
      </w:r>
      <w:r w:rsidR="006152A5">
        <w:rPr/>
        <w:t xml:space="preserve">. </w:t>
      </w:r>
      <w:r w:rsidR="006152A5">
        <w:rPr/>
        <w:t xml:space="preserve">The purpose of this procedure is to provide guidance on how eligible students can access </w:t>
      </w:r>
      <w:r w:rsidR="009729B4">
        <w:rPr/>
        <w:t>support Childcare for costs whilst studying</w:t>
      </w:r>
      <w:r w:rsidR="006152A5">
        <w:rPr/>
        <w:t xml:space="preserve">.  </w:t>
      </w:r>
    </w:p>
    <w:p w:rsidR="009729B4" w:rsidP="0050769F" w:rsidRDefault="0021759A" w14:paraId="7F8A25E4" w14:textId="73A4F13F">
      <w:pPr>
        <w:spacing w:after="0"/>
        <w:jc w:val="both"/>
      </w:pPr>
      <w:r w:rsidRPr="0021759A">
        <w:t>Please note for</w:t>
      </w:r>
      <w:r w:rsidR="00E240DB">
        <w:t xml:space="preserve"> a</w:t>
      </w:r>
      <w:r w:rsidRPr="0021759A">
        <w:t xml:space="preserve"> student under 20 years of </w:t>
      </w:r>
      <w:r w:rsidR="00A8629E">
        <w:t>age on the first day of their academic course</w:t>
      </w:r>
      <w:r w:rsidR="00851038">
        <w:t xml:space="preserve"> </w:t>
      </w:r>
      <w:r w:rsidR="00E240DB">
        <w:t xml:space="preserve">they </w:t>
      </w:r>
      <w:r w:rsidR="00851038">
        <w:t>should apply to</w:t>
      </w:r>
      <w:r w:rsidRPr="0021759A">
        <w:t xml:space="preserve"> Care to Learn at </w:t>
      </w:r>
      <w:hyperlink w:history="1" r:id="rId16">
        <w:r w:rsidRPr="00790DBE" w:rsidR="00435FB6">
          <w:rPr>
            <w:rStyle w:val="Hyperlink"/>
          </w:rPr>
          <w:t>www.gov.uk/care-to-learn</w:t>
        </w:r>
      </w:hyperlink>
    </w:p>
    <w:p w:rsidR="001A3F7D" w:rsidP="0050769F" w:rsidRDefault="00435FB6" w14:paraId="71DC94FC" w14:textId="77777777">
      <w:pPr>
        <w:spacing w:after="0"/>
        <w:jc w:val="both"/>
      </w:pPr>
      <w:r>
        <w:t>Applications can be submitted prior to enrolment</w:t>
      </w:r>
      <w:r w:rsidR="007F6240">
        <w:t xml:space="preserve"> to the course</w:t>
      </w:r>
      <w:r>
        <w:t xml:space="preserve">. Payments will be made once </w:t>
      </w:r>
      <w:r w:rsidR="00EA7F4E">
        <w:t xml:space="preserve">the </w:t>
      </w:r>
      <w:r>
        <w:t xml:space="preserve">application has been approved and enrolment is completed. </w:t>
      </w:r>
      <w:r w:rsidR="007F6240">
        <w:t>Applications should be</w:t>
      </w:r>
      <w:r w:rsidR="003971D8">
        <w:t xml:space="preserve"> made in conjunction with Student Financial Support applications. </w:t>
      </w:r>
    </w:p>
    <w:p w:rsidR="0050769F" w:rsidP="0050769F" w:rsidRDefault="0050769F" w14:paraId="46F78DFF" w14:textId="77777777">
      <w:pPr>
        <w:spacing w:after="0"/>
        <w:jc w:val="both"/>
      </w:pPr>
    </w:p>
    <w:p w:rsidR="006152A5" w:rsidP="0050769F" w:rsidRDefault="006152A5" w14:paraId="364C7CD0" w14:textId="220F55C4">
      <w:pPr>
        <w:tabs>
          <w:tab w:val="left" w:pos="3768"/>
        </w:tabs>
        <w:spacing w:after="0"/>
        <w:ind w:left="360" w:hanging="360"/>
        <w:jc w:val="both"/>
        <w:rPr>
          <w:b/>
        </w:rPr>
      </w:pPr>
      <w:r w:rsidRPr="3B449ED2">
        <w:rPr>
          <w:b/>
          <w:bCs/>
        </w:rPr>
        <w:t xml:space="preserve">1. </w:t>
      </w:r>
      <w:r w:rsidRPr="006152A5">
        <w:rPr>
          <w:b/>
        </w:rPr>
        <w:t>Eligibility</w:t>
      </w:r>
      <w:r w:rsidR="0050769F">
        <w:rPr>
          <w:b/>
        </w:rPr>
        <w:tab/>
      </w:r>
    </w:p>
    <w:p w:rsidR="0050769F" w:rsidP="0050769F" w:rsidRDefault="0050769F" w14:paraId="363625BC" w14:textId="77777777">
      <w:pPr>
        <w:tabs>
          <w:tab w:val="left" w:pos="3768"/>
        </w:tabs>
        <w:spacing w:after="0"/>
        <w:ind w:left="360" w:hanging="360"/>
        <w:jc w:val="both"/>
        <w:rPr>
          <w:b/>
        </w:rPr>
      </w:pPr>
    </w:p>
    <w:p w:rsidR="006F7F12" w:rsidP="006F7F12" w:rsidRDefault="006F7F12" w14:paraId="6C0A3439"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en-US"/>
        </w:rPr>
        <w:t>To be eligible students must;</w:t>
      </w:r>
      <w:r>
        <w:rPr>
          <w:rStyle w:val="eop"/>
          <w:rFonts w:ascii="Calibri" w:hAnsi="Calibri" w:cs="Calibri"/>
          <w:color w:val="000000"/>
          <w:sz w:val="22"/>
          <w:szCs w:val="22"/>
        </w:rPr>
        <w:t> </w:t>
      </w:r>
    </w:p>
    <w:p w:rsidR="006F7F12" w:rsidP="006F7F12" w:rsidRDefault="006F7F12" w14:paraId="5E8258CE"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rsidRPr="009729B4" w:rsidR="009729B4" w:rsidP="0050769F" w:rsidRDefault="00725738" w14:paraId="2F5CF561" w14:textId="2366948A">
      <w:pPr>
        <w:pStyle w:val="ListParagraph"/>
        <w:numPr>
          <w:ilvl w:val="2"/>
          <w:numId w:val="1"/>
        </w:numPr>
        <w:spacing w:after="0"/>
        <w:ind w:left="900" w:hanging="900"/>
        <w:jc w:val="both"/>
      </w:pPr>
      <w:r>
        <w:t>B</w:t>
      </w:r>
      <w:r w:rsidRPr="009729B4" w:rsidR="009729B4">
        <w:t xml:space="preserve">e aged 20 + on the first day of learning. </w:t>
      </w:r>
    </w:p>
    <w:p w:rsidRPr="009729B4" w:rsidR="009729B4" w:rsidP="0050769F" w:rsidRDefault="009729B4" w14:paraId="1C3E5E76" w14:textId="77777777">
      <w:pPr>
        <w:pStyle w:val="ListParagraph"/>
        <w:numPr>
          <w:ilvl w:val="2"/>
          <w:numId w:val="1"/>
        </w:numPr>
        <w:spacing w:after="0"/>
        <w:ind w:left="900" w:hanging="900"/>
        <w:jc w:val="both"/>
      </w:pPr>
      <w:r w:rsidRPr="009729B4">
        <w:t xml:space="preserve">Be the primary carer </w:t>
      </w:r>
      <w:r w:rsidR="003C76CF">
        <w:t xml:space="preserve">or have parental responsibility </w:t>
      </w:r>
      <w:r w:rsidRPr="009729B4">
        <w:t>for the child</w:t>
      </w:r>
      <w:r w:rsidR="003B2B27">
        <w:t xml:space="preserve"> or children being claimed</w:t>
      </w:r>
      <w:r w:rsidR="003C76CF">
        <w:t xml:space="preserve"> for</w:t>
      </w:r>
      <w:r w:rsidR="001B2607">
        <w:t>.</w:t>
      </w:r>
    </w:p>
    <w:p w:rsidRPr="00763B1C" w:rsidR="009729B4" w:rsidP="5E126E9E" w:rsidRDefault="009729B4" w14:paraId="1FBA8EA4" w14:textId="5C765228">
      <w:pPr>
        <w:pStyle w:val="ListParagraph"/>
        <w:numPr>
          <w:ilvl w:val="2"/>
          <w:numId w:val="1"/>
        </w:numPr>
        <w:spacing w:after="0"/>
        <w:ind w:left="900" w:hanging="900"/>
        <w:jc w:val="both"/>
        <w:rPr>
          <w:rFonts w:ascii="Calibri" w:hAnsi="Calibri" w:eastAsia="Calibri" w:cs="Calibri" w:asciiTheme="minorAscii" w:hAnsiTheme="minorAscii" w:eastAsiaTheme="minorAscii" w:cstheme="minorAscii"/>
          <w:caps w:val="0"/>
          <w:smallCaps w:val="0"/>
          <w:noProof w:val="0"/>
          <w:sz w:val="22"/>
          <w:szCs w:val="22"/>
          <w:lang w:val="en-GB"/>
        </w:rPr>
      </w:pPr>
      <w:r w:rsidR="009729B4">
        <w:rPr/>
        <w:t>Have a</w:t>
      </w:r>
      <w:r w:rsidR="006C3D86">
        <w:rPr/>
        <w:t>n individual taxable income of £19,305</w:t>
      </w:r>
      <w:r w:rsidR="00763B1C">
        <w:rPr/>
        <w:t xml:space="preserve"> or </w:t>
      </w:r>
      <w:r w:rsidR="00763B1C">
        <w:rPr/>
        <w:t>below</w:t>
      </w:r>
      <w:r w:rsidR="00617AEC">
        <w:rPr/>
        <w:t>.</w:t>
      </w:r>
      <w:r w:rsidRPr="5E126E9E" w:rsidR="5E126E9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there is no individual taxable income, a household income where the overall income doesn’t exceed the threshold of £32,000.</w:t>
      </w:r>
    </w:p>
    <w:p w:rsidR="00AD5224" w:rsidP="5E126E9E" w:rsidRDefault="006261D7" w14:paraId="52FEDEC7" w14:textId="76DA0115">
      <w:pPr>
        <w:pStyle w:val="ListParagraph"/>
        <w:numPr>
          <w:ilvl w:val="2"/>
          <w:numId w:val="1"/>
        </w:numPr>
        <w:spacing w:after="0"/>
        <w:ind w:left="900" w:hanging="900"/>
        <w:jc w:val="both"/>
        <w:rPr/>
      </w:pPr>
      <w:r w:rsidR="006261D7">
        <w:rPr/>
        <w:t>Meet residency requirements as outlined in the Financial Support Policy 2022-23</w:t>
      </w:r>
      <w:r w:rsidR="001B2607">
        <w:rPr/>
        <w:t>.</w:t>
      </w:r>
      <w:r w:rsidR="00AD5224">
        <w:rPr/>
        <w:t xml:space="preserve"> </w:t>
      </w:r>
    </w:p>
    <w:p w:rsidR="003C76CF" w:rsidP="0050769F" w:rsidRDefault="003C76CF" w14:paraId="16B550C9" w14:textId="7D84E9F8">
      <w:pPr>
        <w:pStyle w:val="ListParagraph"/>
        <w:numPr>
          <w:ilvl w:val="2"/>
          <w:numId w:val="1"/>
        </w:numPr>
        <w:spacing w:after="0"/>
        <w:ind w:left="900" w:hanging="900"/>
        <w:jc w:val="both"/>
        <w:rPr/>
      </w:pPr>
      <w:r w:rsidR="003C76CF">
        <w:rPr/>
        <w:t xml:space="preserve">Be enrolled on an </w:t>
      </w:r>
      <w:r w:rsidR="003C76CF">
        <w:rPr/>
        <w:t>ESFA, SYCA or WYCA</w:t>
      </w:r>
      <w:r w:rsidR="003C76CF">
        <w:rPr/>
        <w:t xml:space="preserve"> </w:t>
      </w:r>
      <w:r w:rsidR="003C76CF">
        <w:rPr/>
        <w:t>f</w:t>
      </w:r>
      <w:r w:rsidR="003C76CF">
        <w:rPr/>
        <w:t>unded programme of study</w:t>
      </w:r>
      <w:r w:rsidR="001B2607">
        <w:rPr/>
        <w:t>.</w:t>
      </w:r>
    </w:p>
    <w:p w:rsidR="003C76CF" w:rsidP="3B449ED2" w:rsidRDefault="003C76CF" w14:paraId="0C514D97" w14:textId="72A07CAF">
      <w:pPr>
        <w:ind w:left="900" w:hanging="900"/>
        <w:jc w:val="both"/>
        <w:rPr>
          <w:b/>
        </w:rPr>
      </w:pPr>
    </w:p>
    <w:p w:rsidR="003C76CF" w:rsidP="3B449ED2" w:rsidRDefault="003C76CF" w14:paraId="383FB18A" w14:textId="30008279">
      <w:pPr>
        <w:ind w:left="1440" w:hanging="1440"/>
        <w:jc w:val="both"/>
        <w:rPr>
          <w:b/>
        </w:rPr>
      </w:pPr>
      <w:r w:rsidRPr="3B449ED2">
        <w:rPr>
          <w:b/>
          <w:bCs/>
        </w:rPr>
        <w:t xml:space="preserve">2. </w:t>
      </w:r>
      <w:r w:rsidRPr="003C76CF">
        <w:rPr>
          <w:b/>
        </w:rPr>
        <w:t>Evidence required</w:t>
      </w:r>
    </w:p>
    <w:p w:rsidRPr="000C7CD1" w:rsidR="00C65DCE" w:rsidP="000C7CD1" w:rsidRDefault="00C65DCE" w14:paraId="7E8AC29C" w14:textId="77777777">
      <w:pPr>
        <w:jc w:val="both"/>
        <w:rPr>
          <w:b/>
          <w:u w:val="single"/>
        </w:rPr>
      </w:pPr>
      <w:r w:rsidRPr="000C7CD1">
        <w:rPr>
          <w:u w:val="single"/>
        </w:rPr>
        <w:t>S</w:t>
      </w:r>
      <w:r w:rsidRPr="000C7CD1" w:rsidR="008F1912">
        <w:rPr>
          <w:u w:val="single"/>
        </w:rPr>
        <w:t>tudents will be expected to produce</w:t>
      </w:r>
      <w:r w:rsidRPr="000C7CD1">
        <w:rPr>
          <w:u w:val="single"/>
        </w:rPr>
        <w:t xml:space="preserve">; </w:t>
      </w:r>
    </w:p>
    <w:p w:rsidR="003C76CF" w:rsidP="00FC3795" w:rsidRDefault="3B449ED2" w14:paraId="2C58E5D1" w14:textId="111C73C5">
      <w:pPr>
        <w:spacing w:after="0"/>
        <w:ind w:left="851" w:hanging="851"/>
        <w:jc w:val="both"/>
      </w:pPr>
      <w:r>
        <w:t xml:space="preserve">2.1.1 </w:t>
      </w:r>
      <w:r w:rsidR="00416FB2">
        <w:tab/>
      </w:r>
      <w:r w:rsidRPr="003B1BD9" w:rsidR="00416FB2">
        <w:t>Evidence</w:t>
      </w:r>
      <w:r w:rsidR="00416FB2">
        <w:t xml:space="preserve"> of the child/children</w:t>
      </w:r>
      <w:r w:rsidR="003C76CF">
        <w:t xml:space="preserve"> birth certificate</w:t>
      </w:r>
      <w:r w:rsidR="00E937EF">
        <w:t>/s</w:t>
      </w:r>
      <w:r w:rsidR="003C76CF">
        <w:t>.</w:t>
      </w:r>
    </w:p>
    <w:p w:rsidR="003C76CF" w:rsidP="00FC3795" w:rsidRDefault="003C76CF" w14:paraId="6975423D" w14:textId="1787CE64">
      <w:pPr>
        <w:spacing w:after="0"/>
        <w:ind w:left="851" w:hanging="851"/>
        <w:jc w:val="both"/>
      </w:pPr>
      <w:r>
        <w:t>2.1.2</w:t>
      </w:r>
      <w:r>
        <w:tab/>
      </w:r>
      <w:r>
        <w:t xml:space="preserve">Evidence of Tax Credit Award Notice. This information will be copied and retained with </w:t>
      </w:r>
      <w:r w:rsidR="00E937EF">
        <w:t xml:space="preserve">the </w:t>
      </w:r>
      <w:r>
        <w:t>application. The information provided i</w:t>
      </w:r>
      <w:r w:rsidR="001B2607">
        <w:t>n the Tax Credit Award should</w:t>
      </w:r>
      <w:r w:rsidR="000C7CD1">
        <w:t xml:space="preserve"> </w:t>
      </w:r>
      <w:r w:rsidR="001B2607">
        <w:t>provide</w:t>
      </w:r>
      <w:r>
        <w:t xml:space="preserve"> up to date evi</w:t>
      </w:r>
      <w:r w:rsidR="00E937EF">
        <w:t xml:space="preserve">dence of personal </w:t>
      </w:r>
      <w:r w:rsidR="697B7F67">
        <w:t>circumstances,</w:t>
      </w:r>
      <w:r>
        <w:t xml:space="preserve"> </w:t>
      </w:r>
      <w:r w:rsidR="00154E77">
        <w:t>including</w:t>
      </w:r>
      <w:r>
        <w:t xml:space="preserve"> income and details of child/children. </w:t>
      </w:r>
    </w:p>
    <w:p w:rsidR="003C76CF" w:rsidP="00FC3795" w:rsidRDefault="003C76CF" w14:paraId="527B0AA8" w14:textId="3897FF71">
      <w:pPr>
        <w:spacing w:after="0"/>
        <w:ind w:left="851" w:hanging="851"/>
        <w:jc w:val="both"/>
      </w:pPr>
      <w:r>
        <w:t>2.1.3</w:t>
      </w:r>
      <w:r>
        <w:tab/>
      </w:r>
      <w:r>
        <w:t xml:space="preserve">Where </w:t>
      </w:r>
      <w:r w:rsidR="00B16898">
        <w:t xml:space="preserve">provisional </w:t>
      </w:r>
      <w:r>
        <w:t xml:space="preserve">Tax Credit documentation or </w:t>
      </w:r>
      <w:r w:rsidR="00B16898">
        <w:t xml:space="preserve">a </w:t>
      </w:r>
      <w:r w:rsidR="00154E77">
        <w:t xml:space="preserve">tax Credit review letter is </w:t>
      </w:r>
      <w:r w:rsidR="00B16898">
        <w:t xml:space="preserve">submitted </w:t>
      </w:r>
      <w:r w:rsidR="008B1A57">
        <w:t>as evidence</w:t>
      </w:r>
      <w:r w:rsidR="00154E77">
        <w:t>,</w:t>
      </w:r>
      <w:r>
        <w:t xml:space="preserve"> students will be </w:t>
      </w:r>
      <w:r w:rsidR="00B16898">
        <w:t xml:space="preserve">also </w:t>
      </w:r>
      <w:r>
        <w:t>expected to</w:t>
      </w:r>
      <w:r w:rsidR="008B1A57">
        <w:t xml:space="preserve"> </w:t>
      </w:r>
      <w:r>
        <w:t>provide three most recent bank statements (to show ongoing tax Credit payments).</w:t>
      </w:r>
    </w:p>
    <w:p w:rsidR="003C76CF" w:rsidP="00FC3795" w:rsidRDefault="00C65DCE" w14:paraId="5554A978" w14:textId="51E34F72">
      <w:pPr>
        <w:pStyle w:val="ListParagraph"/>
        <w:numPr>
          <w:ilvl w:val="2"/>
          <w:numId w:val="5"/>
        </w:numPr>
        <w:spacing w:after="0"/>
        <w:ind w:left="851" w:hanging="851"/>
        <w:jc w:val="both"/>
      </w:pPr>
      <w:r>
        <w:t>Evidence of state benefits</w:t>
      </w:r>
      <w:r w:rsidR="008B1A57">
        <w:t>.</w:t>
      </w:r>
      <w:r>
        <w:t xml:space="preserve"> </w:t>
      </w:r>
    </w:p>
    <w:p w:rsidR="00C65DCE" w:rsidP="00FC3795" w:rsidRDefault="008B1A57" w14:paraId="2BF643A7" w14:textId="1098B0E0">
      <w:pPr>
        <w:pStyle w:val="ListParagraph"/>
        <w:numPr>
          <w:ilvl w:val="2"/>
          <w:numId w:val="5"/>
        </w:numPr>
        <w:spacing w:after="0"/>
        <w:ind w:left="851" w:hanging="851"/>
        <w:jc w:val="both"/>
        <w:rPr/>
      </w:pPr>
      <w:r w:rsidR="008B1A57">
        <w:rPr/>
        <w:t>An asylum seeker must provide supporting</w:t>
      </w:r>
      <w:r w:rsidR="00C65DCE">
        <w:rPr/>
        <w:t xml:space="preserve"> evidence such </w:t>
      </w:r>
      <w:r w:rsidR="00B909AB">
        <w:rPr/>
        <w:t xml:space="preserve">as </w:t>
      </w:r>
      <w:proofErr w:type="gramStart"/>
      <w:r w:rsidR="00B909AB">
        <w:rPr/>
        <w:t>Home</w:t>
      </w:r>
      <w:proofErr w:type="gramEnd"/>
      <w:r w:rsidR="00B909AB">
        <w:rPr/>
        <w:t xml:space="preserve"> Office letter and ARC (A</w:t>
      </w:r>
      <w:r w:rsidR="00C65DCE">
        <w:rPr/>
        <w:t>ppl</w:t>
      </w:r>
      <w:r w:rsidR="008B1A57">
        <w:rPr/>
        <w:t>ication Registration Card) card.</w:t>
      </w:r>
    </w:p>
    <w:p w:rsidR="00C64230" w:rsidP="5E126E9E" w:rsidRDefault="00C65DCE" w14:paraId="6B7F5A13" w14:textId="54F4FB10">
      <w:pPr>
        <w:pStyle w:val="ListParagraph"/>
        <w:numPr>
          <w:ilvl w:val="2"/>
          <w:numId w:val="5"/>
        </w:numPr>
        <w:spacing w:after="0"/>
        <w:ind w:left="851" w:hanging="851"/>
        <w:jc w:val="both"/>
        <w:rPr/>
      </w:pPr>
      <w:r w:rsidR="5E126E9E">
        <w:rPr/>
        <w:t xml:space="preserve">Evidence may be </w:t>
      </w:r>
      <w:r w:rsidR="00C65DCE">
        <w:rPr/>
        <w:t xml:space="preserve">submitted electronically, by post or in person. </w:t>
      </w:r>
      <w:r w:rsidR="004E1CF2">
        <w:rPr/>
        <w:t xml:space="preserve"> </w:t>
      </w:r>
      <w:r w:rsidR="008922F7">
        <w:rPr/>
        <w:t xml:space="preserve">The type of evidence </w:t>
      </w:r>
      <w:r w:rsidR="71CB970C">
        <w:rPr/>
        <w:t>submitted</w:t>
      </w:r>
      <w:r w:rsidR="008922F7">
        <w:rPr/>
        <w:t xml:space="preserve"> will be </w:t>
      </w:r>
      <w:r w:rsidR="00B63EC5">
        <w:rPr/>
        <w:t xml:space="preserve">documented by </w:t>
      </w:r>
      <w:r w:rsidR="007F2A6F">
        <w:rPr/>
        <w:t xml:space="preserve">the college however </w:t>
      </w:r>
      <w:r w:rsidR="008922F7">
        <w:rPr/>
        <w:t>any copies provided will be destroyed in line with General Data Protection Regulations.</w:t>
      </w:r>
    </w:p>
    <w:p w:rsidR="5E126E9E" w:rsidP="5E126E9E" w:rsidRDefault="5E126E9E" w14:paraId="6553B0F9" w14:textId="62A7D65B">
      <w:pPr>
        <w:jc w:val="both"/>
        <w:rPr>
          <w:b w:val="1"/>
          <w:bCs w:val="1"/>
        </w:rPr>
      </w:pPr>
    </w:p>
    <w:p w:rsidRPr="009729B4" w:rsidR="009729B4" w:rsidP="0050769F" w:rsidRDefault="00C64230" w14:paraId="62F24193" w14:textId="2DEBF20B">
      <w:pPr>
        <w:jc w:val="both"/>
        <w:rPr>
          <w:b/>
        </w:rPr>
      </w:pPr>
      <w:r w:rsidRPr="3B449ED2">
        <w:rPr>
          <w:b/>
          <w:bCs/>
        </w:rPr>
        <w:t xml:space="preserve">3. </w:t>
      </w:r>
      <w:r w:rsidRPr="00C64230">
        <w:rPr>
          <w:b/>
          <w:bCs/>
        </w:rPr>
        <w:t>A</w:t>
      </w:r>
      <w:r w:rsidRPr="00C64230" w:rsidR="009729B4">
        <w:rPr>
          <w:b/>
          <w:bCs/>
        </w:rPr>
        <w:t>pplic</w:t>
      </w:r>
      <w:r w:rsidR="009729B4">
        <w:rPr>
          <w:b/>
        </w:rPr>
        <w:t xml:space="preserve">ation process </w:t>
      </w:r>
    </w:p>
    <w:p w:rsidR="00AF70D3" w:rsidP="007D1EEA" w:rsidRDefault="00AF70D3" w14:paraId="3DAE6924" w14:textId="405E70F1">
      <w:pPr>
        <w:pStyle w:val="ListParagraph"/>
        <w:numPr>
          <w:ilvl w:val="2"/>
          <w:numId w:val="3"/>
        </w:numPr>
        <w:spacing w:after="0"/>
        <w:ind w:left="851" w:hanging="851"/>
        <w:jc w:val="both"/>
      </w:pPr>
      <w:r>
        <w:t xml:space="preserve">A Childcare Support Application </w:t>
      </w:r>
      <w:r w:rsidR="00EC27DE">
        <w:t>F</w:t>
      </w:r>
      <w:r>
        <w:t>orm must be completed and approved to meet the cost of childcare provision along with any required evidence.</w:t>
      </w:r>
    </w:p>
    <w:p w:rsidR="003B16FD" w:rsidP="007D1EEA" w:rsidRDefault="003B16FD" w14:paraId="02CAA0B6" w14:textId="26609558">
      <w:pPr>
        <w:pStyle w:val="ListParagraph"/>
        <w:numPr>
          <w:ilvl w:val="2"/>
          <w:numId w:val="3"/>
        </w:numPr>
        <w:spacing w:after="0"/>
        <w:ind w:left="851" w:hanging="851"/>
        <w:jc w:val="both"/>
      </w:pPr>
      <w:r w:rsidRPr="004C4969">
        <w:t xml:space="preserve">Students must provide a completed ‘Childcare Quote Form’ </w:t>
      </w:r>
      <w:r>
        <w:t>from their childcare provider alongside the childcare application form. The childcare provider must be Ofsted registered.</w:t>
      </w:r>
    </w:p>
    <w:p w:rsidRPr="00E74448" w:rsidR="002B53E7" w:rsidP="5E126E9E" w:rsidRDefault="00DD0FCC" w14:paraId="1434F158" w14:textId="16A0CEE5">
      <w:pPr>
        <w:pStyle w:val="ListParagraph"/>
        <w:numPr>
          <w:ilvl w:val="2"/>
          <w:numId w:val="3"/>
        </w:numPr>
        <w:spacing w:after="0"/>
        <w:ind w:left="851" w:hanging="851"/>
        <w:jc w:val="both"/>
        <w:rPr/>
      </w:pPr>
      <w:r w:rsidR="00DD0FCC">
        <w:rPr/>
        <w:t xml:space="preserve">Section 2 of the Childcare Support Application Form must be </w:t>
      </w:r>
      <w:r w:rsidR="00842756">
        <w:rPr/>
        <w:t>completed by the childcare provider</w:t>
      </w:r>
      <w:r w:rsidR="006E77B7">
        <w:rPr/>
        <w:t xml:space="preserve"> to ensure support payments can be made in line with terms and conditions.  This must include the Ofsted registration number.  Applications will not be approved until th</w:t>
      </w:r>
      <w:r w:rsidR="00706CCC">
        <w:rPr/>
        <w:t>i</w:t>
      </w:r>
      <w:r w:rsidR="000D25B4">
        <w:rPr/>
        <w:t>s is completed and verified.</w:t>
      </w:r>
      <w:r w:rsidR="00416FB2">
        <w:rPr/>
        <w:t xml:space="preserve"> </w:t>
      </w:r>
    </w:p>
    <w:p w:rsidR="00D13C15" w:rsidP="007D1EEA" w:rsidRDefault="00D13C15" w14:paraId="3A892D5F" w14:textId="78578B98">
      <w:pPr>
        <w:pStyle w:val="ListParagraph"/>
        <w:numPr>
          <w:ilvl w:val="2"/>
          <w:numId w:val="3"/>
        </w:numPr>
        <w:spacing w:after="0"/>
        <w:ind w:left="851" w:hanging="851"/>
        <w:jc w:val="both"/>
      </w:pPr>
      <w:r>
        <w:t>Childcare support is not guaranteed and until approval of application, childcare payments are the responsibility of the parent or guardian. Students are advised to submit timely applications to ensure childcare payments can be made in line with provider contracts.</w:t>
      </w:r>
    </w:p>
    <w:p w:rsidR="002B53E7" w:rsidP="007D1EEA" w:rsidRDefault="00370BD2" w14:paraId="0F9E411B" w14:textId="77777777">
      <w:pPr>
        <w:pStyle w:val="ListParagraph"/>
        <w:numPr>
          <w:ilvl w:val="2"/>
          <w:numId w:val="3"/>
        </w:numPr>
        <w:spacing w:after="0"/>
        <w:ind w:left="851" w:hanging="851"/>
        <w:jc w:val="both"/>
      </w:pPr>
      <w:r>
        <w:t>Northern College will contact the childcare provider with College Childcare Agree</w:t>
      </w:r>
      <w:r w:rsidR="002B53E7">
        <w:t>ment and full payment schedule.</w:t>
      </w:r>
    </w:p>
    <w:p w:rsidR="002B53E7" w:rsidP="007D1EEA" w:rsidRDefault="00370BD2" w14:paraId="453451CB" w14:textId="77777777">
      <w:pPr>
        <w:pStyle w:val="ListParagraph"/>
        <w:numPr>
          <w:ilvl w:val="2"/>
          <w:numId w:val="3"/>
        </w:numPr>
        <w:spacing w:after="0"/>
        <w:ind w:left="851" w:hanging="851"/>
        <w:jc w:val="both"/>
      </w:pPr>
      <w:r>
        <w:t>The College has the right to withdraw payment from the provider should the provider lose registration, be deemed inad</w:t>
      </w:r>
      <w:r w:rsidR="002B53E7">
        <w:t>equate or requiring improvement.</w:t>
      </w:r>
    </w:p>
    <w:p w:rsidR="002B53E7" w:rsidP="007D1EEA" w:rsidRDefault="004C4969" w14:paraId="0332C04D" w14:textId="718A716B">
      <w:pPr>
        <w:pStyle w:val="ListParagraph"/>
        <w:numPr>
          <w:ilvl w:val="2"/>
          <w:numId w:val="3"/>
        </w:numPr>
        <w:spacing w:after="0"/>
        <w:ind w:left="851" w:hanging="851"/>
        <w:jc w:val="both"/>
      </w:pPr>
      <w:r>
        <w:t xml:space="preserve">All applications and supporting evidence will be treated as confidential. </w:t>
      </w:r>
      <w:r w:rsidR="1ACCF240">
        <w:t>However,</w:t>
      </w:r>
      <w:r>
        <w:t xml:space="preserve"> it may be necessary </w:t>
      </w:r>
      <w:r w:rsidR="00416FB2">
        <w:t xml:space="preserve">for </w:t>
      </w:r>
      <w:r w:rsidR="00313F1C">
        <w:t xml:space="preserve">Student Support Services </w:t>
      </w:r>
      <w:r>
        <w:t>to contact other College staff and/or childcare providers for additional information to allow for an application to be processed.</w:t>
      </w:r>
    </w:p>
    <w:p w:rsidR="008145FF" w:rsidP="007D1EEA" w:rsidRDefault="004C4969" w14:paraId="4D07FE7F" w14:textId="77777777">
      <w:pPr>
        <w:pStyle w:val="ListParagraph"/>
        <w:numPr>
          <w:ilvl w:val="2"/>
          <w:numId w:val="3"/>
        </w:numPr>
        <w:spacing w:after="0"/>
        <w:ind w:left="851" w:hanging="851"/>
        <w:jc w:val="both"/>
      </w:pPr>
      <w:r>
        <w:t>If childcare application is declined all</w:t>
      </w:r>
      <w:r w:rsidR="00EA6BC9">
        <w:t xml:space="preserve"> associated childcare costs must</w:t>
      </w:r>
      <w:r>
        <w:t xml:space="preserve"> be met by the student.</w:t>
      </w:r>
    </w:p>
    <w:p w:rsidR="005F5EC5" w:rsidP="3B449ED2" w:rsidRDefault="005F5EC5" w14:paraId="6BD75A4A" w14:textId="77777777">
      <w:pPr>
        <w:pStyle w:val="ListParagraph"/>
        <w:spacing w:after="0"/>
        <w:ind w:left="1440" w:hanging="1350"/>
        <w:jc w:val="both"/>
      </w:pPr>
    </w:p>
    <w:p w:rsidR="00370BD2" w:rsidP="3B449ED2" w:rsidRDefault="004C4969" w14:paraId="46BB34A4" w14:textId="320488D9">
      <w:pPr>
        <w:jc w:val="both"/>
      </w:pPr>
      <w:r w:rsidRPr="3B449ED2">
        <w:rPr>
          <w:b/>
        </w:rPr>
        <w:t xml:space="preserve">4. </w:t>
      </w:r>
      <w:r w:rsidRPr="004C4969">
        <w:rPr>
          <w:b/>
        </w:rPr>
        <w:t>What the College will pay for</w:t>
      </w:r>
      <w:r w:rsidR="00370BD2">
        <w:t xml:space="preserve"> </w:t>
      </w:r>
    </w:p>
    <w:p w:rsidR="003A5C49" w:rsidP="0050769F" w:rsidRDefault="004C4969" w14:paraId="16DF54A4" w14:textId="4F74788D">
      <w:pPr>
        <w:pStyle w:val="NoSpacing"/>
        <w:ind w:left="851" w:hanging="851"/>
        <w:jc w:val="both"/>
      </w:pPr>
      <w:r>
        <w:t>4.1.1</w:t>
      </w:r>
      <w:r w:rsidR="00370BD2">
        <w:tab/>
      </w:r>
      <w:r w:rsidR="00370BD2">
        <w:t>Where students are eligible to receive Government 2/3 or 4 year Funded Childcare Hours</w:t>
      </w:r>
      <w:r w:rsidRPr="004C4969">
        <w:t xml:space="preserve"> Free Early Years Entitlement must be used in first instance (FEEE).</w:t>
      </w:r>
      <w:r>
        <w:t xml:space="preserve"> </w:t>
      </w:r>
    </w:p>
    <w:p w:rsidR="008145FF" w:rsidP="0050769F" w:rsidRDefault="003A5C49" w14:paraId="10BEE1FC" w14:textId="77777777">
      <w:pPr>
        <w:pStyle w:val="NoSpacing"/>
        <w:ind w:left="851" w:hanging="851"/>
        <w:jc w:val="both"/>
      </w:pPr>
      <w:r>
        <w:t>4.1.2</w:t>
      </w:r>
      <w:r>
        <w:tab/>
      </w:r>
      <w:r w:rsidR="008145FF">
        <w:t xml:space="preserve">Students </w:t>
      </w:r>
      <w:r w:rsidR="00B82406">
        <w:t xml:space="preserve">who receive the approved Childcare funding are </w:t>
      </w:r>
      <w:r w:rsidR="008145FF">
        <w:t>expected to attend 100%. Childcare may be suspended if attendance fails below 9</w:t>
      </w:r>
      <w:r w:rsidR="00D033B7">
        <w:t>5</w:t>
      </w:r>
      <w:r w:rsidR="008145FF">
        <w:t xml:space="preserve">%. </w:t>
      </w:r>
    </w:p>
    <w:p w:rsidR="004C4969" w:rsidP="0050769F" w:rsidRDefault="008145FF" w14:paraId="05F04230" w14:textId="77777777">
      <w:pPr>
        <w:pStyle w:val="NoSpacing"/>
        <w:ind w:left="851" w:hanging="851"/>
        <w:jc w:val="both"/>
      </w:pPr>
      <w:r>
        <w:t>4.1.3</w:t>
      </w:r>
      <w:r>
        <w:tab/>
      </w:r>
      <w:r w:rsidR="00370BD2">
        <w:t xml:space="preserve">Assistance may be granted towards the cost of childcare for eligible students with dependent children up to 15 years of age (16 for children with a disability).  </w:t>
      </w:r>
      <w:r w:rsidRPr="004C4969" w:rsidR="004C4969">
        <w:t xml:space="preserve"> </w:t>
      </w:r>
    </w:p>
    <w:p w:rsidR="00370BD2" w:rsidP="0050769F" w:rsidRDefault="008145FF" w14:paraId="6D27E368" w14:textId="77777777">
      <w:pPr>
        <w:pStyle w:val="NoSpacing"/>
        <w:ind w:left="851" w:hanging="851"/>
        <w:jc w:val="both"/>
      </w:pPr>
      <w:r>
        <w:t>4.1.4</w:t>
      </w:r>
      <w:r w:rsidR="00370BD2">
        <w:tab/>
      </w:r>
      <w:r w:rsidR="00C15679">
        <w:t>C</w:t>
      </w:r>
      <w:r w:rsidR="00370BD2">
        <w:t>hildcare support is for timetabled sessions only plus one-hour travel to and from Northern College as appropriate.</w:t>
      </w:r>
    </w:p>
    <w:p w:rsidR="00370BD2" w:rsidP="0050769F" w:rsidRDefault="008145FF" w14:paraId="2E4C00EC" w14:textId="77777777">
      <w:pPr>
        <w:pStyle w:val="NoSpacing"/>
        <w:ind w:left="851" w:hanging="851"/>
        <w:jc w:val="both"/>
      </w:pPr>
      <w:r>
        <w:t>4.1.5</w:t>
      </w:r>
      <w:r w:rsidR="00370BD2">
        <w:tab/>
      </w:r>
      <w:r w:rsidR="00370BD2">
        <w:t>All childcare payments will be paid directly to the childcare provider in line with the payment schedule.</w:t>
      </w:r>
      <w:r w:rsidR="00370BD2">
        <w:tab/>
      </w:r>
    </w:p>
    <w:p w:rsidR="00370BD2" w:rsidP="0050769F" w:rsidRDefault="008145FF" w14:paraId="34CC2631" w14:textId="5E5D658D">
      <w:pPr>
        <w:pStyle w:val="NoSpacing"/>
        <w:ind w:left="851" w:hanging="851"/>
        <w:jc w:val="both"/>
      </w:pPr>
      <w:r>
        <w:t>4.1.6</w:t>
      </w:r>
      <w:r>
        <w:tab/>
      </w:r>
      <w:r w:rsidR="00370BD2">
        <w:t xml:space="preserve">Northern College students who require </w:t>
      </w:r>
      <w:r w:rsidR="2C71C54B">
        <w:t>childcare</w:t>
      </w:r>
      <w:r w:rsidR="00370BD2">
        <w:t xml:space="preserve"> support for placement/work experience as per the programme requirements will be awarded payments for the extra travel hours to and from placement. </w:t>
      </w:r>
    </w:p>
    <w:p w:rsidR="00370BD2" w:rsidP="0050769F" w:rsidRDefault="003F4E00" w14:paraId="16E1F215" w14:textId="23E6F739">
      <w:pPr>
        <w:pStyle w:val="NoSpacing"/>
        <w:ind w:left="851" w:hanging="851"/>
        <w:jc w:val="both"/>
      </w:pPr>
      <w:r w:rsidR="003F4E00">
        <w:rPr/>
        <w:t>4.1.7</w:t>
      </w:r>
      <w:r>
        <w:tab/>
      </w:r>
      <w:r w:rsidR="00370BD2">
        <w:rPr/>
        <w:t>The maximum childcare costs payable per student will be</w:t>
      </w:r>
      <w:r w:rsidR="00370BD2">
        <w:rPr/>
        <w:t xml:space="preserve"> </w:t>
      </w:r>
      <w:r w:rsidR="00370BD2">
        <w:rPr/>
        <w:t>£</w:t>
      </w:r>
      <w:r w:rsidR="001A40BC">
        <w:rPr/>
        <w:t>6</w:t>
      </w:r>
      <w:r w:rsidR="5DB96291">
        <w:rPr/>
        <w:t>0</w:t>
      </w:r>
      <w:r w:rsidR="00370BD2">
        <w:rPr/>
        <w:t xml:space="preserve">.00 </w:t>
      </w:r>
      <w:r w:rsidR="00370BD2">
        <w:rPr/>
        <w:t>per day per child. Where the childcare costs exceed the maximum amount awarded it will be the responsibility of the student to meet these additional costs which must be paid directly to the childcare provider.</w:t>
      </w:r>
    </w:p>
    <w:p w:rsidR="004C4969" w:rsidP="0050769F" w:rsidRDefault="003F4E00" w14:paraId="7510BFA8" w14:textId="5EDF4386">
      <w:pPr>
        <w:pStyle w:val="NoSpacing"/>
        <w:ind w:left="851" w:hanging="851"/>
        <w:jc w:val="both"/>
      </w:pPr>
      <w:r w:rsidR="003F4E00">
        <w:rPr/>
        <w:t xml:space="preserve">4.1.8 </w:t>
      </w:r>
      <w:r>
        <w:tab/>
      </w:r>
      <w:r w:rsidR="004C4969">
        <w:rPr/>
        <w:t xml:space="preserve">The College will fund </w:t>
      </w:r>
      <w:r w:rsidR="00A262A6">
        <w:rPr/>
        <w:t xml:space="preserve">childcare during </w:t>
      </w:r>
      <w:r w:rsidR="00E256E1">
        <w:rPr/>
        <w:t xml:space="preserve">identified </w:t>
      </w:r>
      <w:r w:rsidR="00F44018">
        <w:rPr/>
        <w:t>Independent Study Weeks (Access and Pre-Access)</w:t>
      </w:r>
      <w:r w:rsidR="00A322BE">
        <w:rPr/>
        <w:t xml:space="preserve"> for what would be timetabled sessions plus one-hour travel to and from Northern College as </w:t>
      </w:r>
      <w:r w:rsidR="00A322BE">
        <w:rPr/>
        <w:t>appropriate</w:t>
      </w:r>
      <w:r w:rsidR="00A322BE">
        <w:rPr/>
        <w:t>.</w:t>
      </w:r>
    </w:p>
    <w:p w:rsidR="000D366D" w:rsidP="0050769F" w:rsidRDefault="008145FF" w14:paraId="1E957A6F" w14:textId="77777777">
      <w:pPr>
        <w:pStyle w:val="NoSpacing"/>
        <w:ind w:left="851" w:hanging="851"/>
        <w:jc w:val="both"/>
      </w:pPr>
      <w:r w:rsidR="008145FF">
        <w:rPr/>
        <w:t xml:space="preserve">4.1.9 </w:t>
      </w:r>
      <w:r>
        <w:tab/>
      </w:r>
      <w:r w:rsidR="008145FF">
        <w:rPr/>
        <w:t>College will fund paymen</w:t>
      </w:r>
      <w:r w:rsidR="008145FF">
        <w:rPr/>
        <w:t xml:space="preserve">ts to childcare provider in cases of sickness of parent or child.  </w:t>
      </w:r>
      <w:r w:rsidR="000D366D">
        <w:rPr/>
        <w:t>Students must inform Northern C</w:t>
      </w:r>
      <w:r w:rsidR="008145FF">
        <w:rPr/>
        <w:t>ollege on first</w:t>
      </w:r>
      <w:r w:rsidR="000D366D">
        <w:rPr/>
        <w:t xml:space="preserve"> day of sickness. </w:t>
      </w:r>
    </w:p>
    <w:p w:rsidR="004C4969" w:rsidP="0050769F" w:rsidRDefault="000D366D" w14:paraId="6786A51A" w14:textId="77777777">
      <w:pPr>
        <w:pStyle w:val="NoSpacing"/>
        <w:ind w:left="851" w:hanging="851"/>
        <w:jc w:val="both"/>
      </w:pPr>
      <w:r>
        <w:t>4.1.10</w:t>
      </w:r>
      <w:r>
        <w:tab/>
      </w:r>
      <w:r>
        <w:t>A</w:t>
      </w:r>
      <w:r w:rsidR="008145FF">
        <w:t xml:space="preserve">bsences will be reviewed after 1 week </w:t>
      </w:r>
      <w:r>
        <w:t>and a decision will be made</w:t>
      </w:r>
      <w:r w:rsidR="008145FF">
        <w:t xml:space="preserve"> by Head of Finance </w:t>
      </w:r>
      <w:r w:rsidR="00B27FC9">
        <w:t xml:space="preserve">whether to continue </w:t>
      </w:r>
      <w:r w:rsidR="008145FF">
        <w:t xml:space="preserve">childcare funding.  Students who do not make </w:t>
      </w:r>
      <w:r w:rsidR="002B749A">
        <w:t xml:space="preserve">the </w:t>
      </w:r>
      <w:r w:rsidR="008145FF">
        <w:t xml:space="preserve">College aware of sickness absence </w:t>
      </w:r>
      <w:r w:rsidR="00BA489D">
        <w:t>(i</w:t>
      </w:r>
      <w:r w:rsidR="002B749A">
        <w:t xml:space="preserve">n line with the Attendance Policy) </w:t>
      </w:r>
      <w:r w:rsidR="008145FF">
        <w:t xml:space="preserve">may be liable for childcare payments. </w:t>
      </w:r>
    </w:p>
    <w:p w:rsidR="007C23E4" w:rsidP="00E57A7C" w:rsidRDefault="007C23E4" w14:paraId="3378B9CD" w14:textId="77777777">
      <w:pPr>
        <w:pStyle w:val="NoSpacing"/>
        <w:ind w:left="851" w:hanging="851"/>
      </w:pPr>
    </w:p>
    <w:p w:rsidR="004C4969" w:rsidP="3B449ED2" w:rsidRDefault="00435FB6" w14:paraId="397CC1C5" w14:textId="53ACA620">
      <w:pPr>
        <w:jc w:val="both"/>
        <w:rPr>
          <w:b/>
        </w:rPr>
      </w:pPr>
      <w:r w:rsidRPr="00435FB6">
        <w:rPr>
          <w:b/>
        </w:rPr>
        <w:lastRenderedPageBreak/>
        <w:t>5. What the College will not pay for</w:t>
      </w:r>
    </w:p>
    <w:p w:rsidR="00435FB6" w:rsidP="0050769F" w:rsidRDefault="00435FB6" w14:paraId="0222634F" w14:textId="47660688">
      <w:pPr>
        <w:pStyle w:val="NoSpacing"/>
        <w:ind w:left="851" w:hanging="851"/>
        <w:jc w:val="both"/>
      </w:pPr>
      <w:r>
        <w:t>5.1.1</w:t>
      </w:r>
      <w:r w:rsidR="00E27475">
        <w:t xml:space="preserve"> </w:t>
      </w:r>
      <w:r>
        <w:tab/>
      </w:r>
      <w:r w:rsidR="00AF6BD9">
        <w:t xml:space="preserve">The contract for childcare is the full responsibility of the student and any outstanding costs relating to non-attendance, withdrawal from programme or extra hours will be met by the student. </w:t>
      </w:r>
    </w:p>
    <w:p w:rsidR="00E27475" w:rsidP="0050769F" w:rsidRDefault="004F2F16" w14:paraId="7C487EC6" w14:textId="77777777">
      <w:pPr>
        <w:pStyle w:val="NoSpacing"/>
        <w:ind w:left="851" w:hanging="851"/>
        <w:jc w:val="both"/>
      </w:pPr>
      <w:r>
        <w:t>5.1.2</w:t>
      </w:r>
      <w:r w:rsidR="00E27475">
        <w:tab/>
      </w:r>
      <w:r w:rsidR="00E55304">
        <w:t>P</w:t>
      </w:r>
      <w:r w:rsidRPr="00E27475" w:rsidR="00E27475">
        <w:t xml:space="preserve">ayments for childcare support provided by a family member or friend.   </w:t>
      </w:r>
    </w:p>
    <w:p w:rsidRPr="00E55304" w:rsidR="003971D8" w:rsidP="0050769F" w:rsidRDefault="004F2F16" w14:paraId="0434712A" w14:textId="44D1EDCB">
      <w:pPr>
        <w:pStyle w:val="NoSpacing"/>
        <w:ind w:left="851" w:hanging="851"/>
        <w:jc w:val="both"/>
      </w:pPr>
      <w:r>
        <w:t>5.1.3</w:t>
      </w:r>
      <w:r w:rsidR="00AF6BD9">
        <w:t xml:space="preserve"> </w:t>
      </w:r>
      <w:r w:rsidR="00AF6BD9">
        <w:tab/>
      </w:r>
      <w:r w:rsidR="003971D8">
        <w:t xml:space="preserve">Childcare funds will not be available in between </w:t>
      </w:r>
      <w:r w:rsidR="00E55304">
        <w:t>courses,</w:t>
      </w:r>
      <w:r w:rsidRPr="00E55304" w:rsidR="00E55304">
        <w:t xml:space="preserve"> </w:t>
      </w:r>
      <w:r w:rsidR="00E55304">
        <w:t>w</w:t>
      </w:r>
      <w:r w:rsidRPr="00E55304" w:rsidR="00E55304">
        <w:t>here a student enrols on a number of short courses.</w:t>
      </w:r>
    </w:p>
    <w:p w:rsidR="003971D8" w:rsidP="0050769F" w:rsidRDefault="004F2F16" w14:paraId="6AE60CC8" w14:textId="6A288FDF">
      <w:pPr>
        <w:pStyle w:val="NoSpacing"/>
        <w:ind w:left="851" w:hanging="851"/>
        <w:jc w:val="both"/>
      </w:pPr>
      <w:r>
        <w:t>5.1.4</w:t>
      </w:r>
      <w:r>
        <w:tab/>
      </w:r>
      <w:r w:rsidR="003971D8">
        <w:t xml:space="preserve">Trips, extra meals, </w:t>
      </w:r>
      <w:r w:rsidR="2B28A180">
        <w:t>parties,</w:t>
      </w:r>
      <w:r w:rsidR="003971D8">
        <w:t xml:space="preserve"> </w:t>
      </w:r>
      <w:r w:rsidR="0099492F">
        <w:t>or other additional activities</w:t>
      </w:r>
      <w:r w:rsidR="003971D8">
        <w:t xml:space="preserve"> provided by the childcare setting.</w:t>
      </w:r>
    </w:p>
    <w:p w:rsidR="003971D8" w:rsidP="0050769F" w:rsidRDefault="004F2F16" w14:paraId="16853B29" w14:textId="77777777">
      <w:pPr>
        <w:pStyle w:val="NoSpacing"/>
        <w:ind w:left="851" w:hanging="851"/>
        <w:jc w:val="both"/>
      </w:pPr>
      <w:r>
        <w:t>5.1.5</w:t>
      </w:r>
      <w:r w:rsidR="003971D8">
        <w:tab/>
      </w:r>
      <w:r w:rsidR="00E55304">
        <w:t xml:space="preserve">Childcare support </w:t>
      </w:r>
      <w:r w:rsidR="00AF6BD9">
        <w:t xml:space="preserve">for private/home study. </w:t>
      </w:r>
    </w:p>
    <w:p w:rsidR="00C65DCE" w:rsidP="0050769F" w:rsidRDefault="004F2F16" w14:paraId="103B59F5" w14:textId="77777777">
      <w:pPr>
        <w:pStyle w:val="NoSpacing"/>
        <w:ind w:left="851" w:hanging="851"/>
        <w:jc w:val="both"/>
      </w:pPr>
      <w:r>
        <w:t>5.1.6</w:t>
      </w:r>
      <w:r w:rsidR="00AF6BD9">
        <w:tab/>
      </w:r>
      <w:r w:rsidR="00AF6BD9">
        <w:t>Childcare fees where a student has missed College for a holiday or to visit family members.</w:t>
      </w:r>
    </w:p>
    <w:p w:rsidR="004F2F16" w:rsidP="00E57A7C" w:rsidRDefault="004F2F16" w14:paraId="4FF6B91C" w14:textId="77777777">
      <w:pPr>
        <w:pStyle w:val="NoSpacing"/>
        <w:ind w:left="851" w:hanging="851"/>
      </w:pPr>
    </w:p>
    <w:p w:rsidR="3B449ED2" w:rsidP="0050769F" w:rsidRDefault="3B449ED2" w14:paraId="13769700" w14:textId="6C0D368B">
      <w:pPr>
        <w:tabs>
          <w:tab w:val="left" w:pos="720"/>
          <w:tab w:val="left" w:pos="1440"/>
        </w:tabs>
        <w:jc w:val="both"/>
        <w:rPr>
          <w:rFonts w:ascii="Calibri" w:hAnsi="Calibri" w:eastAsia="Calibri" w:cs="Calibri"/>
          <w:color w:val="000000" w:themeColor="text1"/>
        </w:rPr>
      </w:pPr>
      <w:r w:rsidRPr="3B449ED2">
        <w:rPr>
          <w:rFonts w:ascii="Calibri" w:hAnsi="Calibri" w:eastAsia="Calibri" w:cs="Calibri"/>
          <w:b/>
          <w:bCs/>
          <w:color w:val="000000" w:themeColor="text1"/>
        </w:rPr>
        <w:t>6. Appeals and complaints</w:t>
      </w:r>
    </w:p>
    <w:p w:rsidR="3B449ED2" w:rsidP="0050769F" w:rsidRDefault="00A10C92" w14:paraId="3FA3B8F1" w14:textId="721F77BE">
      <w:pPr>
        <w:tabs>
          <w:tab w:val="left" w:pos="851"/>
        </w:tabs>
        <w:spacing w:after="0" w:line="240" w:lineRule="auto"/>
        <w:ind w:left="851" w:hanging="851"/>
        <w:jc w:val="both"/>
        <w:rPr>
          <w:rFonts w:ascii="Calibri" w:hAnsi="Calibri" w:eastAsia="Calibri" w:cs="Calibri"/>
          <w:color w:val="000000" w:themeColor="text1"/>
        </w:rPr>
      </w:pPr>
      <w:r w:rsidRPr="3B449ED2">
        <w:rPr>
          <w:rFonts w:ascii="Calibri" w:hAnsi="Calibri" w:eastAsia="Calibri" w:cs="Calibri"/>
          <w:color w:val="000000" w:themeColor="text1"/>
          <w:lang w:val="en-US"/>
        </w:rPr>
        <w:t>6.1.1</w:t>
      </w:r>
      <w:r>
        <w:tab/>
      </w:r>
      <w:r w:rsidRPr="3B449ED2">
        <w:rPr>
          <w:rFonts w:ascii="Calibri" w:hAnsi="Calibri" w:eastAsia="Calibri" w:cs="Calibri"/>
          <w:color w:val="000000" w:themeColor="text1"/>
          <w:lang w:val="en-US"/>
        </w:rPr>
        <w:t xml:space="preserve">Appeals </w:t>
      </w:r>
      <w:r w:rsidRPr="3B449ED2" w:rsidR="3B449ED2">
        <w:rPr>
          <w:rFonts w:ascii="Calibri" w:hAnsi="Calibri" w:eastAsia="Calibri" w:cs="Calibri"/>
          <w:color w:val="000000" w:themeColor="text1"/>
          <w:lang w:val="en-US"/>
        </w:rPr>
        <w:t xml:space="preserve">can only be made against the ‘process’.  </w:t>
      </w:r>
    </w:p>
    <w:p w:rsidR="3B449ED2" w:rsidP="0050769F" w:rsidRDefault="3B449ED2" w14:paraId="35FABB40" w14:textId="3B0231BC">
      <w:pPr>
        <w:tabs>
          <w:tab w:val="left" w:pos="851"/>
        </w:tabs>
        <w:spacing w:after="0" w:line="240" w:lineRule="auto"/>
        <w:ind w:left="851" w:hanging="851"/>
        <w:jc w:val="both"/>
        <w:rPr>
          <w:rFonts w:ascii="Calibri" w:hAnsi="Calibri" w:eastAsia="Calibri" w:cs="Calibri"/>
          <w:color w:val="000000" w:themeColor="text1"/>
        </w:rPr>
      </w:pPr>
      <w:r w:rsidRPr="3B449ED2">
        <w:rPr>
          <w:rFonts w:ascii="Calibri" w:hAnsi="Calibri" w:eastAsia="Calibri" w:cs="Calibri"/>
          <w:color w:val="000000" w:themeColor="text1"/>
          <w:lang w:val="en-US"/>
        </w:rPr>
        <w:t>6.1.2</w:t>
      </w:r>
      <w:r>
        <w:tab/>
      </w:r>
      <w:r w:rsidRPr="3B449ED2">
        <w:rPr>
          <w:rFonts w:ascii="Calibri" w:hAnsi="Calibri" w:eastAsia="Calibri" w:cs="Calibri"/>
          <w:color w:val="000000" w:themeColor="text1"/>
          <w:lang w:val="en-US"/>
        </w:rPr>
        <w:t xml:space="preserve">All appeals should be made in writing to the Head of Finance. Appeals should be submitted in writing </w:t>
      </w:r>
      <w:r w:rsidR="00AB22FB">
        <w:rPr>
          <w:rFonts w:ascii="Calibri" w:hAnsi="Calibri" w:eastAsia="Calibri" w:cs="Calibri"/>
          <w:color w:val="000000" w:themeColor="text1"/>
          <w:lang w:val="en-US"/>
        </w:rPr>
        <w:t xml:space="preserve">via email to </w:t>
      </w:r>
      <w:hyperlink w:history="1" r:id="rId17">
        <w:r w:rsidRPr="00A96EBB" w:rsidR="00AB22FB">
          <w:rPr>
            <w:rStyle w:val="Hyperlink"/>
            <w:rFonts w:ascii="Calibri" w:hAnsi="Calibri" w:eastAsia="Calibri" w:cs="Calibri"/>
            <w:lang w:val="en-US"/>
          </w:rPr>
          <w:t>advice@northern.ac.uk</w:t>
        </w:r>
      </w:hyperlink>
      <w:r w:rsidR="00AB22FB">
        <w:rPr>
          <w:rFonts w:ascii="Calibri" w:hAnsi="Calibri" w:eastAsia="Calibri" w:cs="Calibri"/>
          <w:color w:val="000000" w:themeColor="text1"/>
          <w:lang w:val="en-US"/>
        </w:rPr>
        <w:t xml:space="preserve"> or via post to</w:t>
      </w:r>
      <w:r w:rsidRPr="3B449ED2">
        <w:rPr>
          <w:rFonts w:ascii="Calibri" w:hAnsi="Calibri" w:eastAsia="Calibri" w:cs="Calibri"/>
          <w:color w:val="000000" w:themeColor="text1"/>
          <w:lang w:val="en-US"/>
        </w:rPr>
        <w:t xml:space="preserve"> Student Support Services, Northern College, Wentworth Castle, Stainborough, Barnsley, S75</w:t>
      </w:r>
      <w:r w:rsidR="00AB22FB">
        <w:rPr>
          <w:rFonts w:ascii="Calibri" w:hAnsi="Calibri" w:eastAsia="Calibri" w:cs="Calibri"/>
          <w:color w:val="000000" w:themeColor="text1"/>
          <w:lang w:val="en-US"/>
        </w:rPr>
        <w:t xml:space="preserve"> </w:t>
      </w:r>
      <w:r w:rsidRPr="3B449ED2">
        <w:rPr>
          <w:rFonts w:ascii="Calibri" w:hAnsi="Calibri" w:eastAsia="Calibri" w:cs="Calibri"/>
          <w:color w:val="000000" w:themeColor="text1"/>
          <w:lang w:val="en-US"/>
        </w:rPr>
        <w:t xml:space="preserve">3ET. </w:t>
      </w:r>
    </w:p>
    <w:p w:rsidR="3B449ED2" w:rsidP="0050769F" w:rsidRDefault="3B449ED2" w14:paraId="32EA2F16" w14:textId="1246F171">
      <w:pPr>
        <w:tabs>
          <w:tab w:val="left" w:pos="851"/>
        </w:tabs>
        <w:spacing w:after="0" w:line="240" w:lineRule="auto"/>
        <w:ind w:left="851" w:hanging="851"/>
        <w:jc w:val="both"/>
        <w:rPr>
          <w:rFonts w:ascii="Calibri" w:hAnsi="Calibri" w:eastAsia="Calibri" w:cs="Calibri"/>
          <w:color w:val="000000" w:themeColor="text1"/>
        </w:rPr>
      </w:pPr>
      <w:r w:rsidRPr="3B449ED2">
        <w:rPr>
          <w:rFonts w:ascii="Calibri" w:hAnsi="Calibri" w:eastAsia="Calibri" w:cs="Calibri"/>
          <w:color w:val="000000" w:themeColor="text1"/>
          <w:lang w:val="en-US"/>
        </w:rPr>
        <w:t>6.1.3</w:t>
      </w:r>
      <w:r>
        <w:tab/>
      </w:r>
      <w:r w:rsidRPr="3B449ED2">
        <w:rPr>
          <w:rFonts w:ascii="Calibri" w:hAnsi="Calibri" w:eastAsia="Calibri" w:cs="Calibri"/>
          <w:color w:val="000000" w:themeColor="text1"/>
          <w:lang w:val="en-US"/>
        </w:rPr>
        <w:t xml:space="preserve">Appeals </w:t>
      </w:r>
      <w:r w:rsidRPr="3B449ED2" w:rsidR="00A10C92">
        <w:rPr>
          <w:rFonts w:ascii="Calibri" w:hAnsi="Calibri" w:eastAsia="Calibri" w:cs="Calibri"/>
          <w:color w:val="000000" w:themeColor="text1"/>
          <w:lang w:val="en-US"/>
        </w:rPr>
        <w:t xml:space="preserve">will be </w:t>
      </w:r>
      <w:r w:rsidRPr="3B449ED2">
        <w:rPr>
          <w:rFonts w:ascii="Calibri" w:hAnsi="Calibri" w:eastAsia="Calibri" w:cs="Calibri"/>
          <w:color w:val="000000" w:themeColor="text1"/>
          <w:lang w:val="en-US"/>
        </w:rPr>
        <w:t>considered by the Head of Finance and approved by member of ELT. Where an appeal is upheld the student will be notified in writing and there will be no further recourse.</w:t>
      </w:r>
    </w:p>
    <w:p w:rsidR="3B449ED2" w:rsidP="0050769F" w:rsidRDefault="3B449ED2" w14:paraId="487390FE" w14:textId="728043F0">
      <w:pPr>
        <w:tabs>
          <w:tab w:val="left" w:pos="851"/>
        </w:tabs>
        <w:spacing w:after="0" w:line="240" w:lineRule="auto"/>
        <w:ind w:left="851" w:hanging="851"/>
        <w:jc w:val="both"/>
        <w:rPr>
          <w:rFonts w:ascii="Calibri" w:hAnsi="Calibri" w:eastAsia="Calibri" w:cs="Calibri"/>
          <w:color w:val="000000" w:themeColor="text1"/>
        </w:rPr>
      </w:pPr>
      <w:r w:rsidRPr="5E126E9E" w:rsidR="3B449ED2">
        <w:rPr>
          <w:rFonts w:ascii="Calibri" w:hAnsi="Calibri" w:eastAsia="Calibri" w:cs="Calibri"/>
          <w:color w:val="000000" w:themeColor="text1" w:themeTint="FF" w:themeShade="FF"/>
          <w:lang w:val="en-US"/>
        </w:rPr>
        <w:t>6.1.4</w:t>
      </w:r>
      <w:r>
        <w:tab/>
      </w:r>
      <w:r w:rsidRPr="5E126E9E" w:rsidR="3B449ED2">
        <w:rPr>
          <w:rFonts w:ascii="Calibri" w:hAnsi="Calibri" w:eastAsia="Calibri" w:cs="Calibri"/>
          <w:color w:val="000000" w:themeColor="text1" w:themeTint="FF" w:themeShade="FF"/>
          <w:lang w:val="en-US"/>
        </w:rPr>
        <w:t xml:space="preserve">All appeals will </w:t>
      </w:r>
      <w:proofErr w:type="gramStart"/>
      <w:r w:rsidRPr="5E126E9E" w:rsidR="3B449ED2">
        <w:rPr>
          <w:rFonts w:ascii="Calibri" w:hAnsi="Calibri" w:eastAsia="Calibri" w:cs="Calibri"/>
          <w:color w:val="000000" w:themeColor="text1" w:themeTint="FF" w:themeShade="FF"/>
          <w:lang w:val="en-US"/>
        </w:rPr>
        <w:t>take into account</w:t>
      </w:r>
      <w:proofErr w:type="gramEnd"/>
      <w:r w:rsidRPr="5E126E9E" w:rsidR="3B449ED2">
        <w:rPr>
          <w:rFonts w:ascii="Calibri" w:hAnsi="Calibri" w:eastAsia="Calibri" w:cs="Calibri"/>
          <w:color w:val="000000" w:themeColor="text1" w:themeTint="FF" w:themeShade="FF"/>
          <w:lang w:val="en-US"/>
        </w:rPr>
        <w:t xml:space="preserve"> </w:t>
      </w:r>
      <w:r w:rsidRPr="5E126E9E" w:rsidR="3B449ED2">
        <w:rPr>
          <w:rFonts w:ascii="Calibri" w:hAnsi="Calibri" w:eastAsia="Calibri" w:cs="Calibri"/>
          <w:color w:val="000000" w:themeColor="text1" w:themeTint="FF" w:themeShade="FF"/>
          <w:lang w:val="en-US"/>
        </w:rPr>
        <w:t>evidence presented</w:t>
      </w:r>
      <w:r w:rsidRPr="5E126E9E" w:rsidR="3B449ED2">
        <w:rPr>
          <w:rFonts w:ascii="Calibri" w:hAnsi="Calibri" w:eastAsia="Calibri" w:cs="Calibri"/>
          <w:color w:val="000000" w:themeColor="text1" w:themeTint="FF" w:themeShade="FF"/>
          <w:lang w:val="en-US"/>
        </w:rPr>
        <w:t xml:space="preserve"> from the </w:t>
      </w:r>
      <w:bookmarkStart w:name="_Int_nl13TQST" w:id="209306372"/>
      <w:r w:rsidRPr="5E126E9E" w:rsidR="3B449ED2">
        <w:rPr>
          <w:rFonts w:ascii="Calibri" w:hAnsi="Calibri" w:eastAsia="Calibri" w:cs="Calibri"/>
          <w:color w:val="000000" w:themeColor="text1" w:themeTint="FF" w:themeShade="FF"/>
          <w:lang w:val="en-US"/>
        </w:rPr>
        <w:t>student</w:t>
      </w:r>
      <w:bookmarkEnd w:id="209306372"/>
      <w:r w:rsidRPr="5E126E9E" w:rsidR="3B449ED2">
        <w:rPr>
          <w:rFonts w:ascii="Calibri" w:hAnsi="Calibri" w:eastAsia="Calibri" w:cs="Calibri"/>
          <w:color w:val="000000" w:themeColor="text1" w:themeTint="FF" w:themeShade="FF"/>
          <w:lang w:val="en-US"/>
        </w:rPr>
        <w:t xml:space="preserve"> in relation to their financial circumstances with any relevant information from the Student Support Services and other key staff within Northern College. </w:t>
      </w:r>
    </w:p>
    <w:p w:rsidR="3B449ED2" w:rsidP="0050769F" w:rsidRDefault="3B449ED2" w14:paraId="5D2AD721" w14:textId="051CC08F">
      <w:pPr>
        <w:tabs>
          <w:tab w:val="left" w:pos="851"/>
        </w:tabs>
        <w:spacing w:after="0" w:line="240" w:lineRule="auto"/>
        <w:ind w:left="851" w:hanging="851"/>
        <w:jc w:val="both"/>
        <w:rPr>
          <w:rFonts w:ascii="Calibri" w:hAnsi="Calibri" w:eastAsia="Calibri" w:cs="Calibri"/>
          <w:color w:val="000000" w:themeColor="text1"/>
        </w:rPr>
      </w:pPr>
      <w:r w:rsidRPr="3B449ED2">
        <w:rPr>
          <w:rFonts w:ascii="Calibri" w:hAnsi="Calibri" w:eastAsia="Calibri" w:cs="Calibri"/>
          <w:color w:val="000000" w:themeColor="text1"/>
          <w:lang w:val="en-US"/>
        </w:rPr>
        <w:t>6.1.5</w:t>
      </w:r>
      <w:r>
        <w:tab/>
      </w:r>
      <w:r w:rsidRPr="3B449ED2">
        <w:rPr>
          <w:rFonts w:ascii="Calibri" w:hAnsi="Calibri" w:eastAsia="Calibri" w:cs="Calibri"/>
          <w:color w:val="000000" w:themeColor="text1"/>
          <w:lang w:val="en-US"/>
        </w:rPr>
        <w:t xml:space="preserve">All appeal decisions are final. </w:t>
      </w:r>
    </w:p>
    <w:p w:rsidR="00A10C92" w:rsidP="0050769F" w:rsidRDefault="3B449ED2" w14:paraId="1F44160B" w14:textId="35844D96">
      <w:pPr>
        <w:tabs>
          <w:tab w:val="left" w:pos="851"/>
        </w:tabs>
        <w:spacing w:after="0" w:line="240" w:lineRule="auto"/>
        <w:ind w:left="851" w:hanging="851"/>
        <w:jc w:val="both"/>
        <w:rPr>
          <w:rFonts w:ascii="Calibri" w:hAnsi="Calibri" w:eastAsia="Calibri" w:cs="Calibri"/>
          <w:color w:val="000000" w:themeColor="text1"/>
          <w:lang w:val="en-US"/>
        </w:rPr>
      </w:pPr>
      <w:r w:rsidRPr="3B449ED2">
        <w:rPr>
          <w:rFonts w:ascii="Calibri" w:hAnsi="Calibri" w:eastAsia="Calibri" w:cs="Calibri"/>
          <w:color w:val="000000" w:themeColor="text1"/>
          <w:lang w:val="en-US"/>
        </w:rPr>
        <w:t xml:space="preserve">6.1.6 </w:t>
      </w:r>
      <w:r>
        <w:tab/>
      </w:r>
      <w:r w:rsidRPr="3B449ED2">
        <w:rPr>
          <w:rFonts w:ascii="Calibri" w:hAnsi="Calibri" w:eastAsia="Calibri" w:cs="Calibri"/>
          <w:color w:val="000000" w:themeColor="text1"/>
          <w:lang w:val="en-US"/>
        </w:rPr>
        <w:t>Complaints should be made in writing in the first instance</w:t>
      </w:r>
      <w:r w:rsidRPr="3B449ED2" w:rsidR="00FD6550">
        <w:rPr>
          <w:rFonts w:ascii="Calibri" w:hAnsi="Calibri" w:eastAsia="Calibri" w:cs="Calibri"/>
          <w:color w:val="000000" w:themeColor="text1"/>
          <w:lang w:val="en-US"/>
        </w:rPr>
        <w:t xml:space="preserve"> i</w:t>
      </w:r>
      <w:r w:rsidRPr="3B449ED2" w:rsidR="00A10C92">
        <w:rPr>
          <w:rFonts w:ascii="Calibri" w:hAnsi="Calibri" w:eastAsia="Calibri" w:cs="Calibri"/>
          <w:color w:val="000000" w:themeColor="text1"/>
          <w:lang w:val="en-US"/>
        </w:rPr>
        <w:t>n line with</w:t>
      </w:r>
      <w:r w:rsidRPr="3B449ED2" w:rsidR="00E64615">
        <w:rPr>
          <w:rFonts w:ascii="Calibri" w:hAnsi="Calibri" w:eastAsia="Calibri" w:cs="Calibri"/>
          <w:color w:val="000000" w:themeColor="text1"/>
          <w:lang w:val="en-US"/>
        </w:rPr>
        <w:t xml:space="preserve"> </w:t>
      </w:r>
      <w:r w:rsidRPr="3B449ED2">
        <w:rPr>
          <w:rFonts w:ascii="Calibri" w:hAnsi="Calibri" w:eastAsia="Calibri" w:cs="Calibri"/>
          <w:color w:val="000000" w:themeColor="text1"/>
          <w:lang w:val="en-US"/>
        </w:rPr>
        <w:t xml:space="preserve">Northern </w:t>
      </w:r>
      <w:r w:rsidR="00AB22FB">
        <w:t>Co</w:t>
      </w:r>
      <w:r w:rsidRPr="3B449ED2">
        <w:rPr>
          <w:rFonts w:ascii="Calibri" w:hAnsi="Calibri" w:eastAsia="Calibri" w:cs="Calibri"/>
          <w:color w:val="000000" w:themeColor="text1"/>
          <w:lang w:val="en-US"/>
        </w:rPr>
        <w:t>l</w:t>
      </w:r>
      <w:r w:rsidR="0050769F">
        <w:rPr>
          <w:rFonts w:ascii="Calibri" w:hAnsi="Calibri" w:eastAsia="Calibri" w:cs="Calibri"/>
          <w:color w:val="000000" w:themeColor="text1"/>
          <w:lang w:val="en-US"/>
        </w:rPr>
        <w:t xml:space="preserve">lege </w:t>
      </w:r>
      <w:r w:rsidRPr="3B449ED2">
        <w:rPr>
          <w:rFonts w:ascii="Calibri" w:hAnsi="Calibri" w:eastAsia="Calibri" w:cs="Calibri"/>
          <w:color w:val="000000" w:themeColor="text1"/>
          <w:lang w:val="en-US"/>
        </w:rPr>
        <w:t>complaints procedure.</w:t>
      </w:r>
      <w:r w:rsidRPr="3B449ED2" w:rsidR="00A10C92">
        <w:rPr>
          <w:rFonts w:ascii="Calibri" w:hAnsi="Calibri" w:eastAsia="Calibri" w:cs="Calibri"/>
          <w:color w:val="000000" w:themeColor="text1"/>
          <w:lang w:val="en-US"/>
        </w:rPr>
        <w:t xml:space="preserve"> </w:t>
      </w:r>
    </w:p>
    <w:p w:rsidR="0050769F" w:rsidP="0050769F" w:rsidRDefault="0050769F" w14:paraId="140D77CA" w14:textId="77777777">
      <w:pPr>
        <w:tabs>
          <w:tab w:val="left" w:pos="851"/>
        </w:tabs>
        <w:spacing w:after="0" w:line="240" w:lineRule="auto"/>
        <w:ind w:left="851" w:hanging="851"/>
        <w:jc w:val="both"/>
        <w:rPr>
          <w:rFonts w:ascii="Calibri" w:hAnsi="Calibri" w:eastAsia="Calibri" w:cs="Calibri"/>
          <w:color w:val="000000" w:themeColor="text1"/>
        </w:rPr>
      </w:pPr>
    </w:p>
    <w:p w:rsidR="00C65DCE" w:rsidP="0050769F" w:rsidRDefault="003B070D" w14:paraId="701236B2" w14:textId="0A2E2B6B">
      <w:pPr>
        <w:jc w:val="both"/>
      </w:pPr>
      <w:r>
        <w:t xml:space="preserve">If you require further information or support, please contact </w:t>
      </w:r>
      <w:r w:rsidR="00313F1C">
        <w:t xml:space="preserve">Student Support Services </w:t>
      </w:r>
      <w:r>
        <w:t>on: 01226 77</w:t>
      </w:r>
      <w:r w:rsidR="00E64615">
        <w:t>6</w:t>
      </w:r>
      <w:r>
        <w:t xml:space="preserve">000 or email </w:t>
      </w:r>
      <w:hyperlink r:id="rId18">
        <w:r w:rsidRPr="393854E1" w:rsidR="1BEA42BF">
          <w:rPr>
            <w:rStyle w:val="Hyperlink"/>
          </w:rPr>
          <w:t>advice@northern.ac.uk</w:t>
        </w:r>
      </w:hyperlink>
      <w:r w:rsidR="1BEA42BF">
        <w:t xml:space="preserve"> </w:t>
      </w:r>
    </w:p>
    <w:sectPr w:rsidR="00C65DCE" w:rsidSect="00084334">
      <w:footerReference w:type="default" r:id="rId19"/>
      <w:pgSz w:w="11906" w:h="16838" w:orient="portrait"/>
      <w:pgMar w:top="851" w:right="1440" w:bottom="1440" w:left="1440" w:header="567"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65AF" w:rsidP="00370BD2" w:rsidRDefault="007465AF" w14:paraId="591A5D93" w14:textId="77777777">
      <w:pPr>
        <w:spacing w:after="0" w:line="240" w:lineRule="auto"/>
      </w:pPr>
      <w:r>
        <w:separator/>
      </w:r>
    </w:p>
  </w:endnote>
  <w:endnote w:type="continuationSeparator" w:id="0">
    <w:p w:rsidR="007465AF" w:rsidP="00370BD2" w:rsidRDefault="007465AF" w14:paraId="75136C37" w14:textId="77777777">
      <w:pPr>
        <w:spacing w:after="0" w:line="240" w:lineRule="auto"/>
      </w:pPr>
      <w:r>
        <w:continuationSeparator/>
      </w:r>
    </w:p>
  </w:endnote>
  <w:endnote w:type="continuationNotice" w:id="1">
    <w:p w:rsidR="007465AF" w:rsidRDefault="007465AF" w14:paraId="704E8AF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610325"/>
      <w:docPartObj>
        <w:docPartGallery w:val="Page Numbers (Bottom of Page)"/>
        <w:docPartUnique/>
      </w:docPartObj>
    </w:sdtPr>
    <w:sdtEndPr>
      <w:rPr>
        <w:color w:val="7F7F7F" w:themeColor="background1" w:themeShade="7F"/>
        <w:spacing w:val="60"/>
      </w:rPr>
    </w:sdtEndPr>
    <w:sdtContent>
      <w:p w:rsidR="00A8629E" w:rsidRDefault="00A8629E" w14:paraId="22E6702B" w14:textId="431587D1">
        <w:pPr>
          <w:pStyle w:val="Footer"/>
          <w:pBdr>
            <w:top w:val="single" w:color="D9D9D9" w:themeColor="background1" w:themeShade="D9" w:sz="4" w:space="1"/>
          </w:pBdr>
          <w:jc w:val="right"/>
        </w:pPr>
        <w:r>
          <w:fldChar w:fldCharType="begin"/>
        </w:r>
        <w:r>
          <w:instrText xml:space="preserve"> PAGE   \* MERGEFORMAT </w:instrText>
        </w:r>
        <w:r>
          <w:fldChar w:fldCharType="separate"/>
        </w:r>
        <w:r w:rsidR="00D1613C">
          <w:rPr>
            <w:noProof/>
          </w:rPr>
          <w:t>1</w:t>
        </w:r>
        <w:r>
          <w:rPr>
            <w:noProof/>
          </w:rPr>
          <w:fldChar w:fldCharType="end"/>
        </w:r>
        <w:r>
          <w:t xml:space="preserve"> | </w:t>
        </w:r>
        <w:r>
          <w:rPr>
            <w:color w:val="7F7F7F" w:themeColor="background1" w:themeShade="7F"/>
            <w:spacing w:val="60"/>
          </w:rPr>
          <w:t>Page</w:t>
        </w:r>
      </w:p>
    </w:sdtContent>
  </w:sdt>
  <w:p w:rsidR="00A8629E" w:rsidRDefault="00A8629E" w14:paraId="7D69E98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65AF" w:rsidP="00370BD2" w:rsidRDefault="007465AF" w14:paraId="497282F0" w14:textId="77777777">
      <w:pPr>
        <w:spacing w:after="0" w:line="240" w:lineRule="auto"/>
      </w:pPr>
      <w:r>
        <w:separator/>
      </w:r>
    </w:p>
  </w:footnote>
  <w:footnote w:type="continuationSeparator" w:id="0">
    <w:p w:rsidR="007465AF" w:rsidP="00370BD2" w:rsidRDefault="007465AF" w14:paraId="6C05907B" w14:textId="77777777">
      <w:pPr>
        <w:spacing w:after="0" w:line="240" w:lineRule="auto"/>
      </w:pPr>
      <w:r>
        <w:continuationSeparator/>
      </w:r>
    </w:p>
  </w:footnote>
  <w:footnote w:type="continuationNotice" w:id="1">
    <w:p w:rsidR="007465AF" w:rsidRDefault="007465AF" w14:paraId="7B933C85" w14:textId="77777777">
      <w:pPr>
        <w:spacing w:after="0" w:line="240" w:lineRule="auto"/>
      </w:pPr>
    </w:p>
  </w:footnote>
</w:footnotes>
</file>

<file path=word/intelligence2.xml><?xml version="1.0" encoding="utf-8"?>
<int2:intelligence xmlns:int2="http://schemas.microsoft.com/office/intelligence/2020/intelligence">
  <int2:observations>
    <int2:bookmark int2:bookmarkName="_Int_nl13TQST" int2:invalidationBookmarkName="" int2:hashCode="IEA2oe9uc2DlNj" int2:id="CbBEgacV">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C21"/>
    <w:multiLevelType w:val="multilevel"/>
    <w:tmpl w:val="28D84932"/>
    <w:lvl w:ilvl="0">
      <w:start w:val="1"/>
      <w:numFmt w:val="decimal"/>
      <w:lvlText w:val="%1."/>
      <w:lvlJc w:val="left"/>
      <w:pPr>
        <w:ind w:left="1080" w:hanging="720"/>
      </w:pPr>
      <w:rPr>
        <w:rFonts w:hint="default"/>
      </w:rPr>
    </w:lvl>
    <w:lvl w:ilvl="1">
      <w:start w:val="1"/>
      <w:numFmt w:val="decimal"/>
      <w:isLgl/>
      <w:lvlText w:val="%1.%2"/>
      <w:lvlJc w:val="left"/>
      <w:pPr>
        <w:ind w:left="1230" w:hanging="690"/>
      </w:pPr>
      <w:rPr>
        <w:rFonts w:hint="default"/>
      </w:rPr>
    </w:lvl>
    <w:lvl w:ilvl="2">
      <w:start w:val="1"/>
      <w:numFmt w:val="decimal"/>
      <w:lvlText w:val="%1.%2.%3"/>
      <w:lvlJc w:val="left"/>
      <w:pPr>
        <w:ind w:left="1440" w:hanging="720"/>
      </w:p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0B6C5956"/>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EB2714"/>
    <w:multiLevelType w:val="multilevel"/>
    <w:tmpl w:val="28D84932"/>
    <w:lvl w:ilvl="0">
      <w:start w:val="1"/>
      <w:numFmt w:val="decimal"/>
      <w:lvlText w:val="%1."/>
      <w:lvlJc w:val="left"/>
      <w:pPr>
        <w:ind w:left="1080" w:hanging="720"/>
      </w:pPr>
      <w:rPr>
        <w:rFonts w:hint="default"/>
      </w:rPr>
    </w:lvl>
    <w:lvl w:ilvl="1">
      <w:start w:val="1"/>
      <w:numFmt w:val="decimal"/>
      <w:isLgl/>
      <w:lvlText w:val="%1.%2"/>
      <w:lvlJc w:val="left"/>
      <w:pPr>
        <w:ind w:left="123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52E275BA"/>
    <w:multiLevelType w:val="multilevel"/>
    <w:tmpl w:val="79FAFEC8"/>
    <w:lvl w:ilvl="0">
      <w:start w:val="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85E2449"/>
    <w:multiLevelType w:val="multilevel"/>
    <w:tmpl w:val="70BC73BC"/>
    <w:lvl w:ilvl="0">
      <w:start w:val="3"/>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BD2"/>
    <w:rsid w:val="0001467D"/>
    <w:rsid w:val="00017CCB"/>
    <w:rsid w:val="00060072"/>
    <w:rsid w:val="00061377"/>
    <w:rsid w:val="00084334"/>
    <w:rsid w:val="000A0049"/>
    <w:rsid w:val="000B543E"/>
    <w:rsid w:val="000C7CD1"/>
    <w:rsid w:val="000D25B4"/>
    <w:rsid w:val="000D366D"/>
    <w:rsid w:val="001155CE"/>
    <w:rsid w:val="00122895"/>
    <w:rsid w:val="00153C20"/>
    <w:rsid w:val="00154E77"/>
    <w:rsid w:val="0017415F"/>
    <w:rsid w:val="00177128"/>
    <w:rsid w:val="00192E2A"/>
    <w:rsid w:val="0019356C"/>
    <w:rsid w:val="001A3F7D"/>
    <w:rsid w:val="001A40BC"/>
    <w:rsid w:val="001B2607"/>
    <w:rsid w:val="001C28D4"/>
    <w:rsid w:val="001C2B20"/>
    <w:rsid w:val="00202CB3"/>
    <w:rsid w:val="0021759A"/>
    <w:rsid w:val="0026446F"/>
    <w:rsid w:val="00286321"/>
    <w:rsid w:val="002A6D56"/>
    <w:rsid w:val="002B53E7"/>
    <w:rsid w:val="002B749A"/>
    <w:rsid w:val="002D6103"/>
    <w:rsid w:val="00304973"/>
    <w:rsid w:val="00313F1C"/>
    <w:rsid w:val="003315AA"/>
    <w:rsid w:val="00370BD2"/>
    <w:rsid w:val="00377153"/>
    <w:rsid w:val="00381FF7"/>
    <w:rsid w:val="003971D8"/>
    <w:rsid w:val="003A07A5"/>
    <w:rsid w:val="003A5C49"/>
    <w:rsid w:val="003B070D"/>
    <w:rsid w:val="003B16FD"/>
    <w:rsid w:val="003B1BD9"/>
    <w:rsid w:val="003B2B27"/>
    <w:rsid w:val="003C1336"/>
    <w:rsid w:val="003C76CF"/>
    <w:rsid w:val="003D6BCC"/>
    <w:rsid w:val="003E27B9"/>
    <w:rsid w:val="003F16C1"/>
    <w:rsid w:val="003F4E00"/>
    <w:rsid w:val="003F7515"/>
    <w:rsid w:val="00416FB2"/>
    <w:rsid w:val="00435FB6"/>
    <w:rsid w:val="004418CA"/>
    <w:rsid w:val="004A58F4"/>
    <w:rsid w:val="004C4969"/>
    <w:rsid w:val="004E1CF2"/>
    <w:rsid w:val="004F0F77"/>
    <w:rsid w:val="004F2F16"/>
    <w:rsid w:val="0050769F"/>
    <w:rsid w:val="00544594"/>
    <w:rsid w:val="00552612"/>
    <w:rsid w:val="00571B7F"/>
    <w:rsid w:val="0059111D"/>
    <w:rsid w:val="005B2200"/>
    <w:rsid w:val="005F5EC5"/>
    <w:rsid w:val="006152A5"/>
    <w:rsid w:val="00617AEC"/>
    <w:rsid w:val="006261D7"/>
    <w:rsid w:val="0062779B"/>
    <w:rsid w:val="0063230D"/>
    <w:rsid w:val="0063481C"/>
    <w:rsid w:val="00643C17"/>
    <w:rsid w:val="0065622D"/>
    <w:rsid w:val="006B5A72"/>
    <w:rsid w:val="006C3D86"/>
    <w:rsid w:val="006E77B7"/>
    <w:rsid w:val="006F384E"/>
    <w:rsid w:val="006F7F12"/>
    <w:rsid w:val="00705C8C"/>
    <w:rsid w:val="00706CCC"/>
    <w:rsid w:val="00725738"/>
    <w:rsid w:val="007302A0"/>
    <w:rsid w:val="00735D56"/>
    <w:rsid w:val="007465AF"/>
    <w:rsid w:val="00763B1C"/>
    <w:rsid w:val="007B34E8"/>
    <w:rsid w:val="007B4DD3"/>
    <w:rsid w:val="007B7762"/>
    <w:rsid w:val="007C23E4"/>
    <w:rsid w:val="007D1EEA"/>
    <w:rsid w:val="007F2A6F"/>
    <w:rsid w:val="007F5D8A"/>
    <w:rsid w:val="007F6240"/>
    <w:rsid w:val="00803BF8"/>
    <w:rsid w:val="008145FF"/>
    <w:rsid w:val="00821E6B"/>
    <w:rsid w:val="00842756"/>
    <w:rsid w:val="00847DD4"/>
    <w:rsid w:val="00851038"/>
    <w:rsid w:val="0088237E"/>
    <w:rsid w:val="008840F9"/>
    <w:rsid w:val="00890EE4"/>
    <w:rsid w:val="008922F7"/>
    <w:rsid w:val="00895B24"/>
    <w:rsid w:val="00895E63"/>
    <w:rsid w:val="008B1A57"/>
    <w:rsid w:val="008B3D0E"/>
    <w:rsid w:val="008C3D69"/>
    <w:rsid w:val="008D1A35"/>
    <w:rsid w:val="008F1912"/>
    <w:rsid w:val="00900675"/>
    <w:rsid w:val="009009CE"/>
    <w:rsid w:val="00907A4D"/>
    <w:rsid w:val="009162D4"/>
    <w:rsid w:val="00940197"/>
    <w:rsid w:val="009729B4"/>
    <w:rsid w:val="00987DE4"/>
    <w:rsid w:val="0099492F"/>
    <w:rsid w:val="009A0551"/>
    <w:rsid w:val="009A6F9A"/>
    <w:rsid w:val="00A06102"/>
    <w:rsid w:val="00A10C92"/>
    <w:rsid w:val="00A252DB"/>
    <w:rsid w:val="00A262A6"/>
    <w:rsid w:val="00A322BE"/>
    <w:rsid w:val="00A65CD6"/>
    <w:rsid w:val="00A73A83"/>
    <w:rsid w:val="00A76CFB"/>
    <w:rsid w:val="00A8629E"/>
    <w:rsid w:val="00A978C3"/>
    <w:rsid w:val="00AB22FB"/>
    <w:rsid w:val="00AC08D6"/>
    <w:rsid w:val="00AC1004"/>
    <w:rsid w:val="00AC2560"/>
    <w:rsid w:val="00AD5224"/>
    <w:rsid w:val="00AF6BD9"/>
    <w:rsid w:val="00AF70D3"/>
    <w:rsid w:val="00B036F7"/>
    <w:rsid w:val="00B1021A"/>
    <w:rsid w:val="00B118F2"/>
    <w:rsid w:val="00B13B2C"/>
    <w:rsid w:val="00B159C2"/>
    <w:rsid w:val="00B16898"/>
    <w:rsid w:val="00B27FC9"/>
    <w:rsid w:val="00B6299B"/>
    <w:rsid w:val="00B63EC5"/>
    <w:rsid w:val="00B77FD1"/>
    <w:rsid w:val="00B82406"/>
    <w:rsid w:val="00B909AB"/>
    <w:rsid w:val="00BA3D04"/>
    <w:rsid w:val="00BA489D"/>
    <w:rsid w:val="00BF17BD"/>
    <w:rsid w:val="00C077FD"/>
    <w:rsid w:val="00C15679"/>
    <w:rsid w:val="00C30C22"/>
    <w:rsid w:val="00C64230"/>
    <w:rsid w:val="00C65DCE"/>
    <w:rsid w:val="00C866C6"/>
    <w:rsid w:val="00CD67F5"/>
    <w:rsid w:val="00CE432A"/>
    <w:rsid w:val="00CF5314"/>
    <w:rsid w:val="00D033B7"/>
    <w:rsid w:val="00D13C15"/>
    <w:rsid w:val="00D1613C"/>
    <w:rsid w:val="00D3521D"/>
    <w:rsid w:val="00D435A7"/>
    <w:rsid w:val="00D47E95"/>
    <w:rsid w:val="00D82CD8"/>
    <w:rsid w:val="00D859ED"/>
    <w:rsid w:val="00DA4244"/>
    <w:rsid w:val="00DD0FCC"/>
    <w:rsid w:val="00DD51CF"/>
    <w:rsid w:val="00E17CC4"/>
    <w:rsid w:val="00E23357"/>
    <w:rsid w:val="00E240DB"/>
    <w:rsid w:val="00E256E1"/>
    <w:rsid w:val="00E27475"/>
    <w:rsid w:val="00E55304"/>
    <w:rsid w:val="00E57A7C"/>
    <w:rsid w:val="00E64615"/>
    <w:rsid w:val="00E74448"/>
    <w:rsid w:val="00E86992"/>
    <w:rsid w:val="00E87DD7"/>
    <w:rsid w:val="00E937EF"/>
    <w:rsid w:val="00EA6BC9"/>
    <w:rsid w:val="00EA7F4E"/>
    <w:rsid w:val="00EC27DE"/>
    <w:rsid w:val="00EC543D"/>
    <w:rsid w:val="00EC6076"/>
    <w:rsid w:val="00ED0612"/>
    <w:rsid w:val="00F0166E"/>
    <w:rsid w:val="00F36237"/>
    <w:rsid w:val="00F44018"/>
    <w:rsid w:val="00F45B30"/>
    <w:rsid w:val="00F513F1"/>
    <w:rsid w:val="00FC3795"/>
    <w:rsid w:val="00FD6550"/>
    <w:rsid w:val="00FE2437"/>
    <w:rsid w:val="00FF2EC4"/>
    <w:rsid w:val="00FF33E0"/>
    <w:rsid w:val="011D5A2E"/>
    <w:rsid w:val="014AFACC"/>
    <w:rsid w:val="02A73E25"/>
    <w:rsid w:val="037655C3"/>
    <w:rsid w:val="03AAA858"/>
    <w:rsid w:val="03BB4CB2"/>
    <w:rsid w:val="04AE128B"/>
    <w:rsid w:val="04F3097A"/>
    <w:rsid w:val="055DA8D8"/>
    <w:rsid w:val="0591FB6D"/>
    <w:rsid w:val="0603EFDE"/>
    <w:rsid w:val="0668E3BF"/>
    <w:rsid w:val="0711D74D"/>
    <w:rsid w:val="0726DB62"/>
    <w:rsid w:val="085E982A"/>
    <w:rsid w:val="0973E835"/>
    <w:rsid w:val="0AA253FD"/>
    <w:rsid w:val="0BDA9863"/>
    <w:rsid w:val="0CA9B001"/>
    <w:rsid w:val="0DEEE8FA"/>
    <w:rsid w:val="0E0E6A4B"/>
    <w:rsid w:val="0F60F137"/>
    <w:rsid w:val="0FE0B94B"/>
    <w:rsid w:val="1311CE48"/>
    <w:rsid w:val="134C47FB"/>
    <w:rsid w:val="13BE3C6C"/>
    <w:rsid w:val="14C81790"/>
    <w:rsid w:val="15BEE9B4"/>
    <w:rsid w:val="163E5A56"/>
    <w:rsid w:val="16C86EBF"/>
    <w:rsid w:val="16F3B34D"/>
    <w:rsid w:val="176145DA"/>
    <w:rsid w:val="17793F47"/>
    <w:rsid w:val="17C5BE1A"/>
    <w:rsid w:val="18C9284D"/>
    <w:rsid w:val="19F2081E"/>
    <w:rsid w:val="1A11896F"/>
    <w:rsid w:val="1A535835"/>
    <w:rsid w:val="1AA8F37E"/>
    <w:rsid w:val="1ACCF240"/>
    <w:rsid w:val="1BEA42BF"/>
    <w:rsid w:val="1CBEA4DB"/>
    <w:rsid w:val="1E685614"/>
    <w:rsid w:val="1E804F81"/>
    <w:rsid w:val="1F1F4174"/>
    <w:rsid w:val="1F56BC32"/>
    <w:rsid w:val="1FDDB4B8"/>
    <w:rsid w:val="1FEE5912"/>
    <w:rsid w:val="211899A9"/>
    <w:rsid w:val="217261DC"/>
    <w:rsid w:val="221C03DC"/>
    <w:rsid w:val="23343F53"/>
    <w:rsid w:val="240AAC04"/>
    <w:rsid w:val="25F1FF19"/>
    <w:rsid w:val="26E7ED1B"/>
    <w:rsid w:val="271ADEEA"/>
    <w:rsid w:val="2759E18C"/>
    <w:rsid w:val="27CBD5FD"/>
    <w:rsid w:val="289792A1"/>
    <w:rsid w:val="290392C5"/>
    <w:rsid w:val="2A33C7A9"/>
    <w:rsid w:val="2B28A180"/>
    <w:rsid w:val="2C71C54B"/>
    <w:rsid w:val="2CF90F53"/>
    <w:rsid w:val="2E438E72"/>
    <w:rsid w:val="2E4EECA6"/>
    <w:rsid w:val="2ED2E637"/>
    <w:rsid w:val="300FB32A"/>
    <w:rsid w:val="307C9770"/>
    <w:rsid w:val="308D3BCA"/>
    <w:rsid w:val="317124AC"/>
    <w:rsid w:val="31AB838B"/>
    <w:rsid w:val="32896023"/>
    <w:rsid w:val="3332CF52"/>
    <w:rsid w:val="339ECF76"/>
    <w:rsid w:val="33BCFBC3"/>
    <w:rsid w:val="341E4018"/>
    <w:rsid w:val="36F0D06F"/>
    <w:rsid w:val="37C14986"/>
    <w:rsid w:val="38BD2BD5"/>
    <w:rsid w:val="393854E1"/>
    <w:rsid w:val="39C09608"/>
    <w:rsid w:val="3AB35BE1"/>
    <w:rsid w:val="3AC3A114"/>
    <w:rsid w:val="3B449ED2"/>
    <w:rsid w:val="3BAF3E30"/>
    <w:rsid w:val="3C031216"/>
    <w:rsid w:val="3D441E25"/>
    <w:rsid w:val="3F7F4520"/>
    <w:rsid w:val="3F8CC151"/>
    <w:rsid w:val="40363080"/>
    <w:rsid w:val="43B9B89D"/>
    <w:rsid w:val="46CFB288"/>
    <w:rsid w:val="47A7AD47"/>
    <w:rsid w:val="48602C3E"/>
    <w:rsid w:val="48A5232D"/>
    <w:rsid w:val="49441520"/>
    <w:rsid w:val="4A1A81D1"/>
    <w:rsid w:val="4AFE6AB3"/>
    <w:rsid w:val="4B027C78"/>
    <w:rsid w:val="4C01D4E6"/>
    <w:rsid w:val="4CDADA37"/>
    <w:rsid w:val="4D7E889D"/>
    <w:rsid w:val="4DF7C239"/>
    <w:rsid w:val="4E02822E"/>
    <w:rsid w:val="4E2F7FB0"/>
    <w:rsid w:val="4E8EEF86"/>
    <w:rsid w:val="50D89F72"/>
    <w:rsid w:val="5193867C"/>
    <w:rsid w:val="51A102AD"/>
    <w:rsid w:val="5224FC3E"/>
    <w:rsid w:val="5296F0AF"/>
    <w:rsid w:val="52AA2DA9"/>
    <w:rsid w:val="533D37B5"/>
    <w:rsid w:val="54661786"/>
    <w:rsid w:val="55170E99"/>
    <w:rsid w:val="55248ACA"/>
    <w:rsid w:val="55A8845B"/>
    <w:rsid w:val="565F6FBB"/>
    <w:rsid w:val="568C6D3D"/>
    <w:rsid w:val="56C3E7FB"/>
    <w:rsid w:val="571F34F7"/>
    <w:rsid w:val="57311FF9"/>
    <w:rsid w:val="5762D9EE"/>
    <w:rsid w:val="5819C54E"/>
    <w:rsid w:val="5A746D9A"/>
    <w:rsid w:val="5AC6E0BA"/>
    <w:rsid w:val="5B77D7CD"/>
    <w:rsid w:val="5B8CA911"/>
    <w:rsid w:val="5C901344"/>
    <w:rsid w:val="5C9E9EC7"/>
    <w:rsid w:val="5D12AC0F"/>
    <w:rsid w:val="5DB96291"/>
    <w:rsid w:val="5E0571E8"/>
    <w:rsid w:val="5E126E9E"/>
    <w:rsid w:val="5F4DD30A"/>
    <w:rsid w:val="5F55281D"/>
    <w:rsid w:val="605E869D"/>
    <w:rsid w:val="60858FD2"/>
    <w:rsid w:val="60B5B57D"/>
    <w:rsid w:val="6127A9EE"/>
    <w:rsid w:val="6134A6A4"/>
    <w:rsid w:val="6134A6A4"/>
    <w:rsid w:val="61999E5F"/>
    <w:rsid w:val="626A6929"/>
    <w:rsid w:val="62DED758"/>
    <w:rsid w:val="63884687"/>
    <w:rsid w:val="63F446AB"/>
    <w:rsid w:val="648BB0BA"/>
    <w:rsid w:val="64BE6F05"/>
    <w:rsid w:val="64E6E963"/>
    <w:rsid w:val="653CA7CD"/>
    <w:rsid w:val="65621D6B"/>
    <w:rsid w:val="663561F3"/>
    <w:rsid w:val="6681E0C6"/>
    <w:rsid w:val="680F38D7"/>
    <w:rsid w:val="68147CCC"/>
    <w:rsid w:val="68168DEA"/>
    <w:rsid w:val="68812D48"/>
    <w:rsid w:val="68ADF7F9"/>
    <w:rsid w:val="68B3EB93"/>
    <w:rsid w:val="69556F34"/>
    <w:rsid w:val="697B7F67"/>
    <w:rsid w:val="69BD5A49"/>
    <w:rsid w:val="6ACCF89D"/>
    <w:rsid w:val="6B2E48B4"/>
    <w:rsid w:val="6CCDA5E5"/>
    <w:rsid w:val="6CFAA367"/>
    <w:rsid w:val="6D920D76"/>
    <w:rsid w:val="6DCDE7EF"/>
    <w:rsid w:val="6EF6C7C0"/>
    <w:rsid w:val="6F164911"/>
    <w:rsid w:val="6F53EAED"/>
    <w:rsid w:val="6FA7BED3"/>
    <w:rsid w:val="709624F1"/>
    <w:rsid w:val="71549835"/>
    <w:rsid w:val="71CB970C"/>
    <w:rsid w:val="7245FD48"/>
    <w:rsid w:val="726CD3AC"/>
    <w:rsid w:val="72AA7588"/>
    <w:rsid w:val="7395B37D"/>
    <w:rsid w:val="739D3B61"/>
    <w:rsid w:val="748BA17F"/>
    <w:rsid w:val="750B1221"/>
    <w:rsid w:val="754A14C3"/>
    <w:rsid w:val="755790F4"/>
    <w:rsid w:val="786924A0"/>
    <w:rsid w:val="79BF01F3"/>
    <w:rsid w:val="7B2E3979"/>
    <w:rsid w:val="7B5B36FB"/>
    <w:rsid w:val="7BA4DC98"/>
    <w:rsid w:val="7BCD2B6C"/>
    <w:rsid w:val="7C19AA3F"/>
    <w:rsid w:val="7C9C430A"/>
    <w:rsid w:val="7E18F6C1"/>
    <w:rsid w:val="7E4395B0"/>
    <w:rsid w:val="7F756340"/>
    <w:rsid w:val="7F95AA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93D91"/>
  <w15:chartTrackingRefBased/>
  <w15:docId w15:val="{4061FD31-6427-40E5-8D55-BA81589BA9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70BD2"/>
    <w:pPr>
      <w:tabs>
        <w:tab w:val="center" w:pos="4513"/>
        <w:tab w:val="right" w:pos="9026"/>
      </w:tabs>
      <w:spacing w:after="0" w:line="240" w:lineRule="auto"/>
    </w:pPr>
  </w:style>
  <w:style w:type="character" w:styleId="HeaderChar" w:customStyle="1">
    <w:name w:val="Header Char"/>
    <w:basedOn w:val="DefaultParagraphFont"/>
    <w:link w:val="Header"/>
    <w:uiPriority w:val="99"/>
    <w:rsid w:val="00370BD2"/>
  </w:style>
  <w:style w:type="paragraph" w:styleId="Footer">
    <w:name w:val="footer"/>
    <w:basedOn w:val="Normal"/>
    <w:link w:val="FooterChar"/>
    <w:uiPriority w:val="99"/>
    <w:unhideWhenUsed/>
    <w:rsid w:val="00370BD2"/>
    <w:pPr>
      <w:tabs>
        <w:tab w:val="center" w:pos="4513"/>
        <w:tab w:val="right" w:pos="9026"/>
      </w:tabs>
      <w:spacing w:after="0" w:line="240" w:lineRule="auto"/>
    </w:pPr>
  </w:style>
  <w:style w:type="character" w:styleId="FooterChar" w:customStyle="1">
    <w:name w:val="Footer Char"/>
    <w:basedOn w:val="DefaultParagraphFont"/>
    <w:link w:val="Footer"/>
    <w:uiPriority w:val="99"/>
    <w:rsid w:val="00370BD2"/>
  </w:style>
  <w:style w:type="table" w:styleId="TableGrid">
    <w:name w:val="Table Grid"/>
    <w:basedOn w:val="TableNormal"/>
    <w:uiPriority w:val="39"/>
    <w:rsid w:val="001A3F7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152A5"/>
    <w:pPr>
      <w:ind w:left="720"/>
      <w:contextualSpacing/>
    </w:pPr>
  </w:style>
  <w:style w:type="character" w:styleId="Hyperlink">
    <w:name w:val="Hyperlink"/>
    <w:basedOn w:val="DefaultParagraphFont"/>
    <w:uiPriority w:val="99"/>
    <w:unhideWhenUsed/>
    <w:rsid w:val="00435FB6"/>
    <w:rPr>
      <w:color w:val="0563C1" w:themeColor="hyperlink"/>
      <w:u w:val="single"/>
    </w:rPr>
  </w:style>
  <w:style w:type="paragraph" w:styleId="NoSpacing">
    <w:name w:val="No Spacing"/>
    <w:uiPriority w:val="1"/>
    <w:qFormat/>
    <w:rsid w:val="004F2F16"/>
    <w:pPr>
      <w:spacing w:after="0" w:line="240" w:lineRule="auto"/>
    </w:pPr>
  </w:style>
  <w:style w:type="character" w:styleId="CommentReference">
    <w:name w:val="annotation reference"/>
    <w:basedOn w:val="DefaultParagraphFont"/>
    <w:uiPriority w:val="99"/>
    <w:semiHidden/>
    <w:unhideWhenUsed/>
    <w:rsid w:val="001C2B20"/>
    <w:rPr>
      <w:sz w:val="16"/>
      <w:szCs w:val="16"/>
    </w:rPr>
  </w:style>
  <w:style w:type="paragraph" w:styleId="CommentText">
    <w:name w:val="annotation text"/>
    <w:basedOn w:val="Normal"/>
    <w:link w:val="CommentTextChar"/>
    <w:uiPriority w:val="99"/>
    <w:semiHidden/>
    <w:unhideWhenUsed/>
    <w:rsid w:val="001C2B20"/>
    <w:pPr>
      <w:spacing w:line="240" w:lineRule="auto"/>
    </w:pPr>
    <w:rPr>
      <w:sz w:val="20"/>
      <w:szCs w:val="20"/>
    </w:rPr>
  </w:style>
  <w:style w:type="character" w:styleId="CommentTextChar" w:customStyle="1">
    <w:name w:val="Comment Text Char"/>
    <w:basedOn w:val="DefaultParagraphFont"/>
    <w:link w:val="CommentText"/>
    <w:uiPriority w:val="99"/>
    <w:semiHidden/>
    <w:rsid w:val="001C2B20"/>
    <w:rPr>
      <w:sz w:val="20"/>
      <w:szCs w:val="20"/>
    </w:rPr>
  </w:style>
  <w:style w:type="paragraph" w:styleId="CommentSubject">
    <w:name w:val="annotation subject"/>
    <w:basedOn w:val="CommentText"/>
    <w:next w:val="CommentText"/>
    <w:link w:val="CommentSubjectChar"/>
    <w:uiPriority w:val="99"/>
    <w:semiHidden/>
    <w:unhideWhenUsed/>
    <w:rsid w:val="001C2B20"/>
    <w:rPr>
      <w:b/>
      <w:bCs/>
    </w:rPr>
  </w:style>
  <w:style w:type="character" w:styleId="CommentSubjectChar" w:customStyle="1">
    <w:name w:val="Comment Subject Char"/>
    <w:basedOn w:val="CommentTextChar"/>
    <w:link w:val="CommentSubject"/>
    <w:uiPriority w:val="99"/>
    <w:semiHidden/>
    <w:rsid w:val="001C2B20"/>
    <w:rPr>
      <w:b/>
      <w:bCs/>
      <w:sz w:val="20"/>
      <w:szCs w:val="20"/>
    </w:rPr>
  </w:style>
  <w:style w:type="paragraph" w:styleId="BalloonText">
    <w:name w:val="Balloon Text"/>
    <w:basedOn w:val="Normal"/>
    <w:link w:val="BalloonTextChar"/>
    <w:uiPriority w:val="99"/>
    <w:semiHidden/>
    <w:unhideWhenUsed/>
    <w:rsid w:val="001C2B2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C2B20"/>
    <w:rPr>
      <w:rFonts w:ascii="Segoe UI" w:hAnsi="Segoe UI" w:cs="Segoe UI"/>
      <w:sz w:val="18"/>
      <w:szCs w:val="18"/>
    </w:rPr>
  </w:style>
  <w:style w:type="character" w:styleId="UnresolvedMention">
    <w:name w:val="Unresolved Mention"/>
    <w:basedOn w:val="DefaultParagraphFont"/>
    <w:uiPriority w:val="99"/>
    <w:semiHidden/>
    <w:unhideWhenUsed/>
    <w:rsid w:val="00AB22FB"/>
    <w:rPr>
      <w:color w:val="605E5C"/>
      <w:shd w:val="clear" w:color="auto" w:fill="E1DFDD"/>
    </w:rPr>
  </w:style>
  <w:style w:type="paragraph" w:styleId="paragraph" w:customStyle="1">
    <w:name w:val="paragraph"/>
    <w:basedOn w:val="Normal"/>
    <w:rsid w:val="006F7F1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6F7F12"/>
  </w:style>
  <w:style w:type="character" w:styleId="eop" w:customStyle="1">
    <w:name w:val="eop"/>
    <w:basedOn w:val="DefaultParagraphFont"/>
    <w:rsid w:val="006F7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259672">
      <w:bodyDiv w:val="1"/>
      <w:marLeft w:val="0"/>
      <w:marRight w:val="0"/>
      <w:marTop w:val="0"/>
      <w:marBottom w:val="0"/>
      <w:divBdr>
        <w:top w:val="none" w:sz="0" w:space="0" w:color="auto"/>
        <w:left w:val="none" w:sz="0" w:space="0" w:color="auto"/>
        <w:bottom w:val="none" w:sz="0" w:space="0" w:color="auto"/>
        <w:right w:val="none" w:sz="0" w:space="0" w:color="auto"/>
      </w:divBdr>
      <w:divsChild>
        <w:div w:id="1466921628">
          <w:marLeft w:val="0"/>
          <w:marRight w:val="0"/>
          <w:marTop w:val="0"/>
          <w:marBottom w:val="0"/>
          <w:divBdr>
            <w:top w:val="none" w:sz="0" w:space="0" w:color="auto"/>
            <w:left w:val="none" w:sz="0" w:space="0" w:color="auto"/>
            <w:bottom w:val="none" w:sz="0" w:space="0" w:color="auto"/>
            <w:right w:val="none" w:sz="0" w:space="0" w:color="auto"/>
          </w:divBdr>
        </w:div>
        <w:div w:id="1845321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hyperlink" Target="mailto:advice@northern.ac.uk" TargetMode="Externa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hyperlink" Target="mailto:advice@northern.ac.uk" TargetMode="External" Id="rId17" /><Relationship Type="http://schemas.openxmlformats.org/officeDocument/2006/relationships/customXml" Target="../customXml/item2.xml" Id="rId2" /><Relationship Type="http://schemas.openxmlformats.org/officeDocument/2006/relationships/hyperlink" Target="http://www.gov.uk/care-to-learn"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theme" Target="theme/theme1.xml" Id="rId22" /><Relationship Type="http://schemas.openxmlformats.org/officeDocument/2006/relationships/glossaryDocument" Target="glossary/document.xml" Id="R87f28c3e9c5740f6" /><Relationship Type="http://schemas.microsoft.com/office/2020/10/relationships/intelligence" Target="intelligence2.xml" Id="R57d5e34d41b6419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75650e2-c3a3-40f0-b99e-ca112f9d7706}"/>
      </w:docPartPr>
      <w:docPartBody>
        <w:p w14:paraId="79D86BD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99C242A6CC6BD4C8BF78CBF92DA1E0F" ma:contentTypeVersion="6" ma:contentTypeDescription="Create a new document." ma:contentTypeScope="" ma:versionID="82a3b7a222184ea4dbd09404fb34492a">
  <xsd:schema xmlns:xsd="http://www.w3.org/2001/XMLSchema" xmlns:xs="http://www.w3.org/2001/XMLSchema" xmlns:p="http://schemas.microsoft.com/office/2006/metadata/properties" xmlns:ns2="23214966-a768-4a51-a50c-9dcadd0cb3a6" xmlns:ns3="f665266d-109d-4919-a2bd-a1bfe9e405c7" targetNamespace="http://schemas.microsoft.com/office/2006/metadata/properties" ma:root="true" ma:fieldsID="e3d9b1325f2faa4b126f5adce080c721" ns2:_="" ns3:_="">
    <xsd:import namespace="23214966-a768-4a51-a50c-9dcadd0cb3a6"/>
    <xsd:import namespace="f665266d-109d-4919-a2bd-a1bfe9e405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14966-a768-4a51-a50c-9dcadd0cb3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65266d-109d-4919-a2bd-a1bfe9e405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CC8273-EE9C-43F5-BFF1-22DE0A3C17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EB9612-2727-40C4-8BDB-5B69023F08B8}">
  <ds:schemaRefs>
    <ds:schemaRef ds:uri="http://schemas.microsoft.com/sharepoint/v3/contenttype/forms"/>
  </ds:schemaRefs>
</ds:datastoreItem>
</file>

<file path=customXml/itemProps3.xml><?xml version="1.0" encoding="utf-8"?>
<ds:datastoreItem xmlns:ds="http://schemas.openxmlformats.org/officeDocument/2006/customXml" ds:itemID="{7981554D-F09A-4D53-8EB4-D1339D7FDB00}">
  <ds:schemaRefs>
    <ds:schemaRef ds:uri="http://schemas.openxmlformats.org/officeDocument/2006/bibliography"/>
  </ds:schemaRefs>
</ds:datastoreItem>
</file>

<file path=customXml/itemProps4.xml><?xml version="1.0" encoding="utf-8"?>
<ds:datastoreItem xmlns:ds="http://schemas.openxmlformats.org/officeDocument/2006/customXml" ds:itemID="{380BDAB5-9674-4EBE-BE76-89570B839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14966-a768-4a51-a50c-9dcadd0cb3a6"/>
    <ds:schemaRef ds:uri="f665266d-109d-4919-a2bd-a1bfe9e40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Northern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Lawson</dc:creator>
  <cp:keywords/>
  <dc:description/>
  <cp:lastModifiedBy>Katie Tarrant</cp:lastModifiedBy>
  <cp:revision>91</cp:revision>
  <dcterms:created xsi:type="dcterms:W3CDTF">2020-08-05T15:29:00Z</dcterms:created>
  <dcterms:modified xsi:type="dcterms:W3CDTF">2022-07-26T12:13:07Z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0x010100999C242A6CC6BD4C8BF78CBF92DA1E0F</vt:lpwstr>
  </property>
</Properties>
</file>